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627323619"/>
        <w:docPartObj>
          <w:docPartGallery w:val="Cover Pages"/>
          <w:docPartUnique/>
        </w:docPartObj>
      </w:sdtPr>
      <w:sdtEndPr>
        <w:rPr>
          <w:b/>
          <w:bCs/>
          <w:noProof/>
        </w:rPr>
      </w:sdtEndPr>
      <w:sdtContent>
        <w:p w:rsidR="00BF3D9B" w:rsidRDefault="00BF3D9B">
          <w:r w:rsidRPr="0020693E">
            <w:rPr>
              <w:noProof/>
              <w:lang w:val="en-US"/>
            </w:rPr>
            <w:drawing>
              <wp:anchor distT="0" distB="0" distL="114300" distR="114300" simplePos="0" relativeHeight="251661312" behindDoc="0" locked="0" layoutInCell="1" allowOverlap="1" wp14:anchorId="7678EDDE" wp14:editId="184A52C4">
                <wp:simplePos x="0" y="0"/>
                <wp:positionH relativeFrom="margin">
                  <wp:posOffset>1310005</wp:posOffset>
                </wp:positionH>
                <wp:positionV relativeFrom="paragraph">
                  <wp:posOffset>7920990</wp:posOffset>
                </wp:positionV>
                <wp:extent cx="3177540" cy="1187450"/>
                <wp:effectExtent l="0" t="0" r="3810" b="0"/>
                <wp:wrapNone/>
                <wp:docPr id="6" name="Picture 6" descr="\\200.200.200.4\data\DATALL\Kurumsal iletisim\DEİK_Yeni_Logo\DEİK Vektör Logo Diş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0.200.200.4\data\DATALL\Kurumsal iletisim\DEİK_Yeni_Logo\DEİK Vektör Logo Dişi.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77540"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693E">
            <w:rPr>
              <w:noProof/>
              <w:lang w:val="en-US"/>
            </w:rPr>
            <mc:AlternateContent>
              <mc:Choice Requires="wps">
                <w:drawing>
                  <wp:anchor distT="0" distB="0" distL="114300" distR="114300" simplePos="0" relativeHeight="251660288" behindDoc="0" locked="0" layoutInCell="1" allowOverlap="1" wp14:anchorId="7655D914" wp14:editId="5675D717">
                    <wp:simplePos x="0" y="0"/>
                    <wp:positionH relativeFrom="column">
                      <wp:posOffset>545465</wp:posOffset>
                    </wp:positionH>
                    <wp:positionV relativeFrom="paragraph">
                      <wp:posOffset>-489761</wp:posOffset>
                    </wp:positionV>
                    <wp:extent cx="4572000" cy="1403985"/>
                    <wp:effectExtent l="0" t="0" r="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3985"/>
                            </a:xfrm>
                            <a:prstGeom prst="rect">
                              <a:avLst/>
                            </a:prstGeom>
                            <a:noFill/>
                            <a:ln w="9525">
                              <a:noFill/>
                              <a:miter lim="800000"/>
                              <a:headEnd/>
                              <a:tailEnd/>
                            </a:ln>
                          </wps:spPr>
                          <wps:txbx>
                            <w:txbxContent>
                              <w:p w:rsidR="00880399" w:rsidRPr="00753E91" w:rsidRDefault="00880399" w:rsidP="00880399">
                                <w:pPr>
                                  <w:jc w:val="center"/>
                                  <w:rPr>
                                    <w:b/>
                                    <w:bCs/>
                                    <w:color w:val="FFFFFF" w:themeColor="background1"/>
                                    <w:sz w:val="52"/>
                                    <w:szCs w:val="52"/>
                                  </w:rPr>
                                </w:pPr>
                                <w:r>
                                  <w:rPr>
                                    <w:b/>
                                    <w:bCs/>
                                    <w:color w:val="FFFFFF" w:themeColor="background1"/>
                                    <w:sz w:val="52"/>
                                    <w:szCs w:val="52"/>
                                  </w:rPr>
                                  <w:t>KENYA</w:t>
                                </w:r>
                                <w:r w:rsidRPr="00753E91">
                                  <w:rPr>
                                    <w:b/>
                                    <w:bCs/>
                                    <w:color w:val="FFFFFF" w:themeColor="background1"/>
                                    <w:sz w:val="52"/>
                                    <w:szCs w:val="52"/>
                                  </w:rPr>
                                  <w:t xml:space="preserve"> ÜLKE BÜLTENİ</w:t>
                                </w:r>
                              </w:p>
                              <w:p w:rsidR="00880399" w:rsidRPr="00753E91" w:rsidRDefault="00B45657" w:rsidP="00880399">
                                <w:pPr>
                                  <w:jc w:val="center"/>
                                  <w:rPr>
                                    <w:b/>
                                    <w:bCs/>
                                    <w:color w:val="FFFFFF" w:themeColor="background1"/>
                                    <w:sz w:val="36"/>
                                    <w:szCs w:val="36"/>
                                  </w:rPr>
                                </w:pPr>
                                <w:r>
                                  <w:rPr>
                                    <w:b/>
                                    <w:bCs/>
                                    <w:color w:val="FFFFFF" w:themeColor="background1"/>
                                    <w:sz w:val="36"/>
                                    <w:szCs w:val="36"/>
                                  </w:rPr>
                                  <w:t>2017</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95pt;margin-top:-38.55pt;width:5in;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" filled="f" stroked="f">
                    <v:textbox style="mso-fit-shape-to-text:t">
                      <w:txbxContent>
                        <w:p w:rsidR="00880399" w:rsidRPr="00753E91" w:rsidRDefault="00880399" w:rsidP="00880399">
                          <w:pPr>
                            <w:jc w:val="center"/>
                            <w:rPr>
                              <w:b/>
                              <w:bCs/>
                              <w:color w:val="FFFFFF" w:themeColor="background1"/>
                              <w:sz w:val="52"/>
                              <w:szCs w:val="52"/>
                            </w:rPr>
                          </w:pPr>
                          <w:r>
                            <w:rPr>
                              <w:b/>
                              <w:bCs/>
                              <w:color w:val="FFFFFF" w:themeColor="background1"/>
                              <w:sz w:val="52"/>
                              <w:szCs w:val="52"/>
                            </w:rPr>
                            <w:t>KENYA</w:t>
                          </w:r>
                          <w:r w:rsidRPr="00753E91">
                            <w:rPr>
                              <w:b/>
                              <w:bCs/>
                              <w:color w:val="FFFFFF" w:themeColor="background1"/>
                              <w:sz w:val="52"/>
                              <w:szCs w:val="52"/>
                            </w:rPr>
                            <w:t xml:space="preserve"> ÜLKE BÜLTENİ</w:t>
                          </w:r>
                        </w:p>
                        <w:p w:rsidR="00880399" w:rsidRPr="00753E91" w:rsidRDefault="00B45657" w:rsidP="00880399">
                          <w:pPr>
                            <w:jc w:val="center"/>
                            <w:rPr>
                              <w:b/>
                              <w:bCs/>
                              <w:color w:val="FFFFFF" w:themeColor="background1"/>
                              <w:sz w:val="36"/>
                              <w:szCs w:val="36"/>
                            </w:rPr>
                          </w:pPr>
                          <w:r>
                            <w:rPr>
                              <w:b/>
                              <w:bCs/>
                              <w:color w:val="FFFFFF" w:themeColor="background1"/>
                              <w:sz w:val="36"/>
                              <w:szCs w:val="36"/>
                            </w:rPr>
                            <w:t>2017</w:t>
                          </w:r>
                          <w:bookmarkStart w:id="1" w:name="_GoBack"/>
                          <w:bookmarkEnd w:id="1"/>
                        </w:p>
                      </w:txbxContent>
                    </v:textbox>
                  </v:shape>
                </w:pict>
              </mc:Fallback>
            </mc:AlternateContent>
          </w:r>
          <w:r>
            <w:rPr>
              <w:noProof/>
              <w:lang w:val="en-US"/>
            </w:rPr>
            <w:drawing>
              <wp:anchor distT="0" distB="0" distL="114300" distR="114300" simplePos="0" relativeHeight="251659264" behindDoc="1" locked="0" layoutInCell="1" allowOverlap="1" wp14:anchorId="01C96CE5" wp14:editId="27633102">
                <wp:simplePos x="0" y="0"/>
                <wp:positionH relativeFrom="column">
                  <wp:posOffset>-1057450</wp:posOffset>
                </wp:positionH>
                <wp:positionV relativeFrom="paragraph">
                  <wp:posOffset>-962857</wp:posOffset>
                </wp:positionV>
                <wp:extent cx="7805818" cy="10783614"/>
                <wp:effectExtent l="0" t="0" r="5080" b="0"/>
                <wp:wrapNone/>
                <wp:docPr id="7" name="Picture 7" descr="C:\Users\idevelioglu\Desktop\tr-afr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develioglu\Desktop\tr-afrika.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4180" r="23005"/>
                        <a:stretch/>
                      </pic:blipFill>
                      <pic:spPr bwMode="auto">
                        <a:xfrm>
                          <a:off x="0" y="0"/>
                          <a:ext cx="7805818" cy="1078361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F3D9B" w:rsidRDefault="00BF3D9B">
          <w:r>
            <w:rPr>
              <w:b/>
              <w:bCs/>
              <w:noProof/>
            </w:rPr>
            <w:br w:type="page"/>
          </w:r>
        </w:p>
      </w:sdtContent>
    </w:sdt>
    <w:sdt>
      <w:sdtPr>
        <w:rPr>
          <w:rFonts w:asciiTheme="minorHAnsi" w:eastAsiaTheme="minorHAnsi" w:hAnsiTheme="minorHAnsi" w:cstheme="minorBidi"/>
          <w:b w:val="0"/>
          <w:bCs w:val="0"/>
          <w:color w:val="auto"/>
          <w:sz w:val="22"/>
          <w:szCs w:val="22"/>
          <w:lang w:val="tr-TR" w:eastAsia="en-US"/>
        </w:rPr>
        <w:id w:val="-242407917"/>
        <w:docPartObj>
          <w:docPartGallery w:val="Table of Contents"/>
          <w:docPartUnique/>
        </w:docPartObj>
      </w:sdtPr>
      <w:sdtEndPr>
        <w:rPr>
          <w:noProof/>
        </w:rPr>
      </w:sdtEndPr>
      <w:sdtContent>
        <w:p w:rsidR="00976F30" w:rsidRDefault="006B3635" w:rsidP="00C2700F">
          <w:pPr>
            <w:pStyle w:val="TOCHeading"/>
            <w:spacing w:line="240" w:lineRule="auto"/>
          </w:pPr>
          <w:r>
            <w:t>İçindekiler</w:t>
          </w:r>
        </w:p>
        <w:p w:rsidR="00276023" w:rsidRDefault="00976F30">
          <w:pPr>
            <w:pStyle w:val="TOC1"/>
            <w:tabs>
              <w:tab w:val="right" w:leader="dot" w:pos="9062"/>
            </w:tabs>
            <w:rPr>
              <w:rFonts w:eastAsiaTheme="minorEastAsia"/>
              <w:noProof/>
              <w:lang w:eastAsia="tr-TR"/>
            </w:rPr>
          </w:pPr>
          <w:r>
            <w:fldChar w:fldCharType="begin"/>
          </w:r>
          <w:r>
            <w:instrText xml:space="preserve"> TOC \o "1-3" \h \z \u </w:instrText>
          </w:r>
          <w:r>
            <w:fldChar w:fldCharType="separate"/>
          </w:r>
          <w:hyperlink w:anchor="_Toc491348155" w:history="1">
            <w:r w:rsidR="00276023" w:rsidRPr="0015050C">
              <w:rPr>
                <w:rStyle w:val="Hyperlink"/>
                <w:noProof/>
              </w:rPr>
              <w:t>Genel Bilgiler</w:t>
            </w:r>
            <w:r w:rsidR="00276023">
              <w:rPr>
                <w:noProof/>
                <w:webHidden/>
              </w:rPr>
              <w:tab/>
            </w:r>
            <w:r w:rsidR="00276023">
              <w:rPr>
                <w:noProof/>
                <w:webHidden/>
              </w:rPr>
              <w:fldChar w:fldCharType="begin"/>
            </w:r>
            <w:r w:rsidR="00276023">
              <w:rPr>
                <w:noProof/>
                <w:webHidden/>
              </w:rPr>
              <w:instrText xml:space="preserve"> PAGEREF _Toc491348155 \h </w:instrText>
            </w:r>
            <w:r w:rsidR="00276023">
              <w:rPr>
                <w:noProof/>
                <w:webHidden/>
              </w:rPr>
            </w:r>
            <w:r w:rsidR="00276023">
              <w:rPr>
                <w:noProof/>
                <w:webHidden/>
              </w:rPr>
              <w:fldChar w:fldCharType="separate"/>
            </w:r>
            <w:r w:rsidR="00276023">
              <w:rPr>
                <w:noProof/>
                <w:webHidden/>
              </w:rPr>
              <w:t>3</w:t>
            </w:r>
            <w:r w:rsidR="00276023">
              <w:rPr>
                <w:noProof/>
                <w:webHidden/>
              </w:rPr>
              <w:fldChar w:fldCharType="end"/>
            </w:r>
          </w:hyperlink>
        </w:p>
        <w:p w:rsidR="00276023" w:rsidRDefault="00B45657">
          <w:pPr>
            <w:pStyle w:val="TOC2"/>
            <w:tabs>
              <w:tab w:val="right" w:leader="dot" w:pos="9062"/>
            </w:tabs>
            <w:rPr>
              <w:rFonts w:eastAsiaTheme="minorEastAsia"/>
              <w:noProof/>
              <w:lang w:eastAsia="tr-TR"/>
            </w:rPr>
          </w:pPr>
          <w:hyperlink w:anchor="_Toc491348156" w:history="1">
            <w:r w:rsidR="00276023" w:rsidRPr="0015050C">
              <w:rPr>
                <w:rStyle w:val="Hyperlink"/>
                <w:noProof/>
              </w:rPr>
              <w:t>Siyasi Yapı</w:t>
            </w:r>
            <w:r w:rsidR="00276023">
              <w:rPr>
                <w:noProof/>
                <w:webHidden/>
              </w:rPr>
              <w:tab/>
            </w:r>
            <w:r w:rsidR="00276023">
              <w:rPr>
                <w:noProof/>
                <w:webHidden/>
              </w:rPr>
              <w:fldChar w:fldCharType="begin"/>
            </w:r>
            <w:r w:rsidR="00276023">
              <w:rPr>
                <w:noProof/>
                <w:webHidden/>
              </w:rPr>
              <w:instrText xml:space="preserve"> PAGEREF _Toc491348156 \h </w:instrText>
            </w:r>
            <w:r w:rsidR="00276023">
              <w:rPr>
                <w:noProof/>
                <w:webHidden/>
              </w:rPr>
            </w:r>
            <w:r w:rsidR="00276023">
              <w:rPr>
                <w:noProof/>
                <w:webHidden/>
              </w:rPr>
              <w:fldChar w:fldCharType="separate"/>
            </w:r>
            <w:r w:rsidR="00276023">
              <w:rPr>
                <w:noProof/>
                <w:webHidden/>
              </w:rPr>
              <w:t>3</w:t>
            </w:r>
            <w:r w:rsidR="00276023">
              <w:rPr>
                <w:noProof/>
                <w:webHidden/>
              </w:rPr>
              <w:fldChar w:fldCharType="end"/>
            </w:r>
          </w:hyperlink>
        </w:p>
        <w:p w:rsidR="00276023" w:rsidRDefault="00B45657">
          <w:pPr>
            <w:pStyle w:val="TOC2"/>
            <w:tabs>
              <w:tab w:val="right" w:leader="dot" w:pos="9062"/>
            </w:tabs>
            <w:rPr>
              <w:rFonts w:eastAsiaTheme="minorEastAsia"/>
              <w:noProof/>
              <w:lang w:eastAsia="tr-TR"/>
            </w:rPr>
          </w:pPr>
          <w:hyperlink w:anchor="_Toc491348157" w:history="1">
            <w:r w:rsidR="00276023" w:rsidRPr="0015050C">
              <w:rPr>
                <w:rStyle w:val="Hyperlink"/>
                <w:noProof/>
              </w:rPr>
              <w:t>Genel Ekonomik Görünüm</w:t>
            </w:r>
            <w:r w:rsidR="00276023">
              <w:rPr>
                <w:noProof/>
                <w:webHidden/>
              </w:rPr>
              <w:tab/>
            </w:r>
            <w:r w:rsidR="00276023">
              <w:rPr>
                <w:noProof/>
                <w:webHidden/>
              </w:rPr>
              <w:fldChar w:fldCharType="begin"/>
            </w:r>
            <w:r w:rsidR="00276023">
              <w:rPr>
                <w:noProof/>
                <w:webHidden/>
              </w:rPr>
              <w:instrText xml:space="preserve"> PAGEREF _Toc491348157 \h </w:instrText>
            </w:r>
            <w:r w:rsidR="00276023">
              <w:rPr>
                <w:noProof/>
                <w:webHidden/>
              </w:rPr>
            </w:r>
            <w:r w:rsidR="00276023">
              <w:rPr>
                <w:noProof/>
                <w:webHidden/>
              </w:rPr>
              <w:fldChar w:fldCharType="separate"/>
            </w:r>
            <w:r w:rsidR="00276023">
              <w:rPr>
                <w:noProof/>
                <w:webHidden/>
              </w:rPr>
              <w:t>4</w:t>
            </w:r>
            <w:r w:rsidR="00276023">
              <w:rPr>
                <w:noProof/>
                <w:webHidden/>
              </w:rPr>
              <w:fldChar w:fldCharType="end"/>
            </w:r>
          </w:hyperlink>
        </w:p>
        <w:p w:rsidR="00276023" w:rsidRDefault="00B45657">
          <w:pPr>
            <w:pStyle w:val="TOC3"/>
            <w:tabs>
              <w:tab w:val="right" w:leader="dot" w:pos="9062"/>
            </w:tabs>
            <w:rPr>
              <w:rFonts w:eastAsiaTheme="minorEastAsia"/>
              <w:noProof/>
              <w:lang w:eastAsia="tr-TR"/>
            </w:rPr>
          </w:pPr>
          <w:hyperlink w:anchor="_Toc491348158" w:history="1">
            <w:r w:rsidR="00276023" w:rsidRPr="0015050C">
              <w:rPr>
                <w:rStyle w:val="Hyperlink"/>
                <w:noProof/>
              </w:rPr>
              <w:t>Yıllık GSYİH Büyüme Oranları (%)</w:t>
            </w:r>
            <w:r w:rsidR="00276023">
              <w:rPr>
                <w:noProof/>
                <w:webHidden/>
              </w:rPr>
              <w:tab/>
            </w:r>
            <w:r w:rsidR="00276023">
              <w:rPr>
                <w:noProof/>
                <w:webHidden/>
              </w:rPr>
              <w:fldChar w:fldCharType="begin"/>
            </w:r>
            <w:r w:rsidR="00276023">
              <w:rPr>
                <w:noProof/>
                <w:webHidden/>
              </w:rPr>
              <w:instrText xml:space="preserve"> PAGEREF _Toc491348158 \h </w:instrText>
            </w:r>
            <w:r w:rsidR="00276023">
              <w:rPr>
                <w:noProof/>
                <w:webHidden/>
              </w:rPr>
            </w:r>
            <w:r w:rsidR="00276023">
              <w:rPr>
                <w:noProof/>
                <w:webHidden/>
              </w:rPr>
              <w:fldChar w:fldCharType="separate"/>
            </w:r>
            <w:r w:rsidR="00276023">
              <w:rPr>
                <w:noProof/>
                <w:webHidden/>
              </w:rPr>
              <w:t>5</w:t>
            </w:r>
            <w:r w:rsidR="00276023">
              <w:rPr>
                <w:noProof/>
                <w:webHidden/>
              </w:rPr>
              <w:fldChar w:fldCharType="end"/>
            </w:r>
          </w:hyperlink>
        </w:p>
        <w:p w:rsidR="00276023" w:rsidRDefault="00B45657">
          <w:pPr>
            <w:pStyle w:val="TOC3"/>
            <w:tabs>
              <w:tab w:val="right" w:leader="dot" w:pos="9062"/>
            </w:tabs>
            <w:rPr>
              <w:rFonts w:eastAsiaTheme="minorEastAsia"/>
              <w:noProof/>
              <w:lang w:eastAsia="tr-TR"/>
            </w:rPr>
          </w:pPr>
          <w:hyperlink w:anchor="_Toc491348159" w:history="1">
            <w:r w:rsidR="00276023" w:rsidRPr="0015050C">
              <w:rPr>
                <w:rStyle w:val="Hyperlink"/>
                <w:noProof/>
              </w:rPr>
              <w:t>Kenya'da çay ve kahve üretimi</w:t>
            </w:r>
            <w:r w:rsidR="00276023">
              <w:rPr>
                <w:noProof/>
                <w:webHidden/>
              </w:rPr>
              <w:tab/>
            </w:r>
            <w:r w:rsidR="00276023">
              <w:rPr>
                <w:noProof/>
                <w:webHidden/>
              </w:rPr>
              <w:fldChar w:fldCharType="begin"/>
            </w:r>
            <w:r w:rsidR="00276023">
              <w:rPr>
                <w:noProof/>
                <w:webHidden/>
              </w:rPr>
              <w:instrText xml:space="preserve"> PAGEREF _Toc491348159 \h </w:instrText>
            </w:r>
            <w:r w:rsidR="00276023">
              <w:rPr>
                <w:noProof/>
                <w:webHidden/>
              </w:rPr>
            </w:r>
            <w:r w:rsidR="00276023">
              <w:rPr>
                <w:noProof/>
                <w:webHidden/>
              </w:rPr>
              <w:fldChar w:fldCharType="separate"/>
            </w:r>
            <w:r w:rsidR="00276023">
              <w:rPr>
                <w:noProof/>
                <w:webHidden/>
              </w:rPr>
              <w:t>5</w:t>
            </w:r>
            <w:r w:rsidR="00276023">
              <w:rPr>
                <w:noProof/>
                <w:webHidden/>
              </w:rPr>
              <w:fldChar w:fldCharType="end"/>
            </w:r>
          </w:hyperlink>
        </w:p>
        <w:p w:rsidR="00276023" w:rsidRDefault="00B45657">
          <w:pPr>
            <w:pStyle w:val="TOC3"/>
            <w:tabs>
              <w:tab w:val="right" w:leader="dot" w:pos="9062"/>
            </w:tabs>
            <w:rPr>
              <w:rFonts w:eastAsiaTheme="minorEastAsia"/>
              <w:noProof/>
              <w:lang w:eastAsia="tr-TR"/>
            </w:rPr>
          </w:pPr>
          <w:hyperlink w:anchor="_Toc491348160" w:history="1">
            <w:r w:rsidR="00276023" w:rsidRPr="0015050C">
              <w:rPr>
                <w:rStyle w:val="Hyperlink"/>
                <w:noProof/>
              </w:rPr>
              <w:t>Enflasyon oranları (%)</w:t>
            </w:r>
            <w:r w:rsidR="00276023">
              <w:rPr>
                <w:noProof/>
                <w:webHidden/>
              </w:rPr>
              <w:tab/>
            </w:r>
            <w:r w:rsidR="00276023">
              <w:rPr>
                <w:noProof/>
                <w:webHidden/>
              </w:rPr>
              <w:fldChar w:fldCharType="begin"/>
            </w:r>
            <w:r w:rsidR="00276023">
              <w:rPr>
                <w:noProof/>
                <w:webHidden/>
              </w:rPr>
              <w:instrText xml:space="preserve"> PAGEREF _Toc491348160 \h </w:instrText>
            </w:r>
            <w:r w:rsidR="00276023">
              <w:rPr>
                <w:noProof/>
                <w:webHidden/>
              </w:rPr>
            </w:r>
            <w:r w:rsidR="00276023">
              <w:rPr>
                <w:noProof/>
                <w:webHidden/>
              </w:rPr>
              <w:fldChar w:fldCharType="separate"/>
            </w:r>
            <w:r w:rsidR="00276023">
              <w:rPr>
                <w:noProof/>
                <w:webHidden/>
              </w:rPr>
              <w:t>6</w:t>
            </w:r>
            <w:r w:rsidR="00276023">
              <w:rPr>
                <w:noProof/>
                <w:webHidden/>
              </w:rPr>
              <w:fldChar w:fldCharType="end"/>
            </w:r>
          </w:hyperlink>
        </w:p>
        <w:p w:rsidR="00276023" w:rsidRDefault="00B45657">
          <w:pPr>
            <w:pStyle w:val="TOC1"/>
            <w:tabs>
              <w:tab w:val="right" w:leader="dot" w:pos="9062"/>
            </w:tabs>
            <w:rPr>
              <w:rFonts w:eastAsiaTheme="minorEastAsia"/>
              <w:noProof/>
              <w:lang w:eastAsia="tr-TR"/>
            </w:rPr>
          </w:pPr>
          <w:hyperlink w:anchor="_Toc491348161" w:history="1">
            <w:r w:rsidR="00276023" w:rsidRPr="0015050C">
              <w:rPr>
                <w:rStyle w:val="Hyperlink"/>
                <w:noProof/>
              </w:rPr>
              <w:t>Sektörler</w:t>
            </w:r>
            <w:r w:rsidR="00276023">
              <w:rPr>
                <w:noProof/>
                <w:webHidden/>
              </w:rPr>
              <w:tab/>
            </w:r>
            <w:r w:rsidR="00276023">
              <w:rPr>
                <w:noProof/>
                <w:webHidden/>
              </w:rPr>
              <w:fldChar w:fldCharType="begin"/>
            </w:r>
            <w:r w:rsidR="00276023">
              <w:rPr>
                <w:noProof/>
                <w:webHidden/>
              </w:rPr>
              <w:instrText xml:space="preserve"> PAGEREF _Toc491348161 \h </w:instrText>
            </w:r>
            <w:r w:rsidR="00276023">
              <w:rPr>
                <w:noProof/>
                <w:webHidden/>
              </w:rPr>
            </w:r>
            <w:r w:rsidR="00276023">
              <w:rPr>
                <w:noProof/>
                <w:webHidden/>
              </w:rPr>
              <w:fldChar w:fldCharType="separate"/>
            </w:r>
            <w:r w:rsidR="00276023">
              <w:rPr>
                <w:noProof/>
                <w:webHidden/>
              </w:rPr>
              <w:t>6</w:t>
            </w:r>
            <w:r w:rsidR="00276023">
              <w:rPr>
                <w:noProof/>
                <w:webHidden/>
              </w:rPr>
              <w:fldChar w:fldCharType="end"/>
            </w:r>
          </w:hyperlink>
        </w:p>
        <w:p w:rsidR="00276023" w:rsidRDefault="00B45657">
          <w:pPr>
            <w:pStyle w:val="TOC2"/>
            <w:tabs>
              <w:tab w:val="right" w:leader="dot" w:pos="9062"/>
            </w:tabs>
            <w:rPr>
              <w:rFonts w:eastAsiaTheme="minorEastAsia"/>
              <w:noProof/>
              <w:lang w:eastAsia="tr-TR"/>
            </w:rPr>
          </w:pPr>
          <w:hyperlink w:anchor="_Toc491348162" w:history="1">
            <w:r w:rsidR="00276023" w:rsidRPr="0015050C">
              <w:rPr>
                <w:rStyle w:val="Hyperlink"/>
                <w:noProof/>
              </w:rPr>
              <w:t>İmalat</w:t>
            </w:r>
            <w:r w:rsidR="00276023">
              <w:rPr>
                <w:noProof/>
                <w:webHidden/>
              </w:rPr>
              <w:tab/>
            </w:r>
            <w:r w:rsidR="00276023">
              <w:rPr>
                <w:noProof/>
                <w:webHidden/>
              </w:rPr>
              <w:fldChar w:fldCharType="begin"/>
            </w:r>
            <w:r w:rsidR="00276023">
              <w:rPr>
                <w:noProof/>
                <w:webHidden/>
              </w:rPr>
              <w:instrText xml:space="preserve"> PAGEREF _Toc491348162 \h </w:instrText>
            </w:r>
            <w:r w:rsidR="00276023">
              <w:rPr>
                <w:noProof/>
                <w:webHidden/>
              </w:rPr>
            </w:r>
            <w:r w:rsidR="00276023">
              <w:rPr>
                <w:noProof/>
                <w:webHidden/>
              </w:rPr>
              <w:fldChar w:fldCharType="separate"/>
            </w:r>
            <w:r w:rsidR="00276023">
              <w:rPr>
                <w:noProof/>
                <w:webHidden/>
              </w:rPr>
              <w:t>6</w:t>
            </w:r>
            <w:r w:rsidR="00276023">
              <w:rPr>
                <w:noProof/>
                <w:webHidden/>
              </w:rPr>
              <w:fldChar w:fldCharType="end"/>
            </w:r>
          </w:hyperlink>
        </w:p>
        <w:p w:rsidR="00276023" w:rsidRDefault="00B45657">
          <w:pPr>
            <w:pStyle w:val="TOC2"/>
            <w:tabs>
              <w:tab w:val="right" w:leader="dot" w:pos="9062"/>
            </w:tabs>
            <w:rPr>
              <w:rFonts w:eastAsiaTheme="minorEastAsia"/>
              <w:noProof/>
              <w:lang w:eastAsia="tr-TR"/>
            </w:rPr>
          </w:pPr>
          <w:hyperlink w:anchor="_Toc491348163" w:history="1">
            <w:r w:rsidR="00276023" w:rsidRPr="0015050C">
              <w:rPr>
                <w:rStyle w:val="Hyperlink"/>
                <w:noProof/>
              </w:rPr>
              <w:t>Tarım &amp; Hayvancılık</w:t>
            </w:r>
            <w:r w:rsidR="00276023">
              <w:rPr>
                <w:noProof/>
                <w:webHidden/>
              </w:rPr>
              <w:tab/>
            </w:r>
            <w:r w:rsidR="00276023">
              <w:rPr>
                <w:noProof/>
                <w:webHidden/>
              </w:rPr>
              <w:fldChar w:fldCharType="begin"/>
            </w:r>
            <w:r w:rsidR="00276023">
              <w:rPr>
                <w:noProof/>
                <w:webHidden/>
              </w:rPr>
              <w:instrText xml:space="preserve"> PAGEREF _Toc491348163 \h </w:instrText>
            </w:r>
            <w:r w:rsidR="00276023">
              <w:rPr>
                <w:noProof/>
                <w:webHidden/>
              </w:rPr>
            </w:r>
            <w:r w:rsidR="00276023">
              <w:rPr>
                <w:noProof/>
                <w:webHidden/>
              </w:rPr>
              <w:fldChar w:fldCharType="separate"/>
            </w:r>
            <w:r w:rsidR="00276023">
              <w:rPr>
                <w:noProof/>
                <w:webHidden/>
              </w:rPr>
              <w:t>6</w:t>
            </w:r>
            <w:r w:rsidR="00276023">
              <w:rPr>
                <w:noProof/>
                <w:webHidden/>
              </w:rPr>
              <w:fldChar w:fldCharType="end"/>
            </w:r>
          </w:hyperlink>
        </w:p>
        <w:p w:rsidR="00276023" w:rsidRDefault="00B45657">
          <w:pPr>
            <w:pStyle w:val="TOC2"/>
            <w:tabs>
              <w:tab w:val="right" w:leader="dot" w:pos="9062"/>
            </w:tabs>
            <w:rPr>
              <w:rFonts w:eastAsiaTheme="minorEastAsia"/>
              <w:noProof/>
              <w:lang w:eastAsia="tr-TR"/>
            </w:rPr>
          </w:pPr>
          <w:hyperlink w:anchor="_Toc491348164" w:history="1">
            <w:r w:rsidR="00276023" w:rsidRPr="0015050C">
              <w:rPr>
                <w:rStyle w:val="Hyperlink"/>
                <w:noProof/>
              </w:rPr>
              <w:t>İnşaat Sektörü</w:t>
            </w:r>
            <w:r w:rsidR="00276023">
              <w:rPr>
                <w:noProof/>
                <w:webHidden/>
              </w:rPr>
              <w:tab/>
            </w:r>
            <w:r w:rsidR="00276023">
              <w:rPr>
                <w:noProof/>
                <w:webHidden/>
              </w:rPr>
              <w:fldChar w:fldCharType="begin"/>
            </w:r>
            <w:r w:rsidR="00276023">
              <w:rPr>
                <w:noProof/>
                <w:webHidden/>
              </w:rPr>
              <w:instrText xml:space="preserve"> PAGEREF _Toc491348164 \h </w:instrText>
            </w:r>
            <w:r w:rsidR="00276023">
              <w:rPr>
                <w:noProof/>
                <w:webHidden/>
              </w:rPr>
            </w:r>
            <w:r w:rsidR="00276023">
              <w:rPr>
                <w:noProof/>
                <w:webHidden/>
              </w:rPr>
              <w:fldChar w:fldCharType="separate"/>
            </w:r>
            <w:r w:rsidR="00276023">
              <w:rPr>
                <w:noProof/>
                <w:webHidden/>
              </w:rPr>
              <w:t>7</w:t>
            </w:r>
            <w:r w:rsidR="00276023">
              <w:rPr>
                <w:noProof/>
                <w:webHidden/>
              </w:rPr>
              <w:fldChar w:fldCharType="end"/>
            </w:r>
          </w:hyperlink>
        </w:p>
        <w:p w:rsidR="00276023" w:rsidRDefault="00B45657">
          <w:pPr>
            <w:pStyle w:val="TOC2"/>
            <w:tabs>
              <w:tab w:val="right" w:leader="dot" w:pos="9062"/>
            </w:tabs>
            <w:rPr>
              <w:rFonts w:eastAsiaTheme="minorEastAsia"/>
              <w:noProof/>
              <w:lang w:eastAsia="tr-TR"/>
            </w:rPr>
          </w:pPr>
          <w:hyperlink w:anchor="_Toc491348165" w:history="1">
            <w:r w:rsidR="00276023" w:rsidRPr="0015050C">
              <w:rPr>
                <w:rStyle w:val="Hyperlink"/>
                <w:noProof/>
              </w:rPr>
              <w:t>Enerji</w:t>
            </w:r>
            <w:r w:rsidR="00276023">
              <w:rPr>
                <w:noProof/>
                <w:webHidden/>
              </w:rPr>
              <w:tab/>
            </w:r>
            <w:r w:rsidR="00276023">
              <w:rPr>
                <w:noProof/>
                <w:webHidden/>
              </w:rPr>
              <w:fldChar w:fldCharType="begin"/>
            </w:r>
            <w:r w:rsidR="00276023">
              <w:rPr>
                <w:noProof/>
                <w:webHidden/>
              </w:rPr>
              <w:instrText xml:space="preserve"> PAGEREF _Toc491348165 \h </w:instrText>
            </w:r>
            <w:r w:rsidR="00276023">
              <w:rPr>
                <w:noProof/>
                <w:webHidden/>
              </w:rPr>
            </w:r>
            <w:r w:rsidR="00276023">
              <w:rPr>
                <w:noProof/>
                <w:webHidden/>
              </w:rPr>
              <w:fldChar w:fldCharType="separate"/>
            </w:r>
            <w:r w:rsidR="00276023">
              <w:rPr>
                <w:noProof/>
                <w:webHidden/>
              </w:rPr>
              <w:t>7</w:t>
            </w:r>
            <w:r w:rsidR="00276023">
              <w:rPr>
                <w:noProof/>
                <w:webHidden/>
              </w:rPr>
              <w:fldChar w:fldCharType="end"/>
            </w:r>
          </w:hyperlink>
        </w:p>
        <w:p w:rsidR="00276023" w:rsidRDefault="00B45657">
          <w:pPr>
            <w:pStyle w:val="TOC2"/>
            <w:tabs>
              <w:tab w:val="right" w:leader="dot" w:pos="9062"/>
            </w:tabs>
            <w:rPr>
              <w:rFonts w:eastAsiaTheme="minorEastAsia"/>
              <w:noProof/>
              <w:lang w:eastAsia="tr-TR"/>
            </w:rPr>
          </w:pPr>
          <w:hyperlink w:anchor="_Toc491348166" w:history="1">
            <w:r w:rsidR="00276023" w:rsidRPr="0015050C">
              <w:rPr>
                <w:rStyle w:val="Hyperlink"/>
                <w:noProof/>
              </w:rPr>
              <w:t>Turizm</w:t>
            </w:r>
            <w:r w:rsidR="00276023">
              <w:rPr>
                <w:noProof/>
                <w:webHidden/>
              </w:rPr>
              <w:tab/>
            </w:r>
            <w:r w:rsidR="00276023">
              <w:rPr>
                <w:noProof/>
                <w:webHidden/>
              </w:rPr>
              <w:fldChar w:fldCharType="begin"/>
            </w:r>
            <w:r w:rsidR="00276023">
              <w:rPr>
                <w:noProof/>
                <w:webHidden/>
              </w:rPr>
              <w:instrText xml:space="preserve"> PAGEREF _Toc491348166 \h </w:instrText>
            </w:r>
            <w:r w:rsidR="00276023">
              <w:rPr>
                <w:noProof/>
                <w:webHidden/>
              </w:rPr>
            </w:r>
            <w:r w:rsidR="00276023">
              <w:rPr>
                <w:noProof/>
                <w:webHidden/>
              </w:rPr>
              <w:fldChar w:fldCharType="separate"/>
            </w:r>
            <w:r w:rsidR="00276023">
              <w:rPr>
                <w:noProof/>
                <w:webHidden/>
              </w:rPr>
              <w:t>8</w:t>
            </w:r>
            <w:r w:rsidR="00276023">
              <w:rPr>
                <w:noProof/>
                <w:webHidden/>
              </w:rPr>
              <w:fldChar w:fldCharType="end"/>
            </w:r>
          </w:hyperlink>
        </w:p>
        <w:p w:rsidR="00276023" w:rsidRDefault="00B45657">
          <w:pPr>
            <w:pStyle w:val="TOC2"/>
            <w:tabs>
              <w:tab w:val="right" w:leader="dot" w:pos="9062"/>
            </w:tabs>
            <w:rPr>
              <w:rFonts w:eastAsiaTheme="minorEastAsia"/>
              <w:noProof/>
              <w:lang w:eastAsia="tr-TR"/>
            </w:rPr>
          </w:pPr>
          <w:hyperlink w:anchor="_Toc491348167" w:history="1">
            <w:r w:rsidR="00276023" w:rsidRPr="0015050C">
              <w:rPr>
                <w:rStyle w:val="Hyperlink"/>
                <w:noProof/>
              </w:rPr>
              <w:t>Taşımacılık</w:t>
            </w:r>
            <w:r w:rsidR="00276023">
              <w:rPr>
                <w:noProof/>
                <w:webHidden/>
              </w:rPr>
              <w:tab/>
            </w:r>
            <w:r w:rsidR="00276023">
              <w:rPr>
                <w:noProof/>
                <w:webHidden/>
              </w:rPr>
              <w:fldChar w:fldCharType="begin"/>
            </w:r>
            <w:r w:rsidR="00276023">
              <w:rPr>
                <w:noProof/>
                <w:webHidden/>
              </w:rPr>
              <w:instrText xml:space="preserve"> PAGEREF _Toc491348167 \h </w:instrText>
            </w:r>
            <w:r w:rsidR="00276023">
              <w:rPr>
                <w:noProof/>
                <w:webHidden/>
              </w:rPr>
            </w:r>
            <w:r w:rsidR="00276023">
              <w:rPr>
                <w:noProof/>
                <w:webHidden/>
              </w:rPr>
              <w:fldChar w:fldCharType="separate"/>
            </w:r>
            <w:r w:rsidR="00276023">
              <w:rPr>
                <w:noProof/>
                <w:webHidden/>
              </w:rPr>
              <w:t>8</w:t>
            </w:r>
            <w:r w:rsidR="00276023">
              <w:rPr>
                <w:noProof/>
                <w:webHidden/>
              </w:rPr>
              <w:fldChar w:fldCharType="end"/>
            </w:r>
          </w:hyperlink>
        </w:p>
        <w:p w:rsidR="00276023" w:rsidRDefault="00B45657">
          <w:pPr>
            <w:pStyle w:val="TOC2"/>
            <w:tabs>
              <w:tab w:val="right" w:leader="dot" w:pos="9062"/>
            </w:tabs>
            <w:rPr>
              <w:rFonts w:eastAsiaTheme="minorEastAsia"/>
              <w:noProof/>
              <w:lang w:eastAsia="tr-TR"/>
            </w:rPr>
          </w:pPr>
          <w:hyperlink w:anchor="_Toc491348168" w:history="1">
            <w:r w:rsidR="00276023" w:rsidRPr="0015050C">
              <w:rPr>
                <w:rStyle w:val="Hyperlink"/>
                <w:noProof/>
              </w:rPr>
              <w:t>Bankacılık</w:t>
            </w:r>
            <w:r w:rsidR="00276023">
              <w:rPr>
                <w:noProof/>
                <w:webHidden/>
              </w:rPr>
              <w:tab/>
            </w:r>
            <w:r w:rsidR="00276023">
              <w:rPr>
                <w:noProof/>
                <w:webHidden/>
              </w:rPr>
              <w:fldChar w:fldCharType="begin"/>
            </w:r>
            <w:r w:rsidR="00276023">
              <w:rPr>
                <w:noProof/>
                <w:webHidden/>
              </w:rPr>
              <w:instrText xml:space="preserve"> PAGEREF _Toc491348168 \h </w:instrText>
            </w:r>
            <w:r w:rsidR="00276023">
              <w:rPr>
                <w:noProof/>
                <w:webHidden/>
              </w:rPr>
            </w:r>
            <w:r w:rsidR="00276023">
              <w:rPr>
                <w:noProof/>
                <w:webHidden/>
              </w:rPr>
              <w:fldChar w:fldCharType="separate"/>
            </w:r>
            <w:r w:rsidR="00276023">
              <w:rPr>
                <w:noProof/>
                <w:webHidden/>
              </w:rPr>
              <w:t>8</w:t>
            </w:r>
            <w:r w:rsidR="00276023">
              <w:rPr>
                <w:noProof/>
                <w:webHidden/>
              </w:rPr>
              <w:fldChar w:fldCharType="end"/>
            </w:r>
          </w:hyperlink>
        </w:p>
        <w:p w:rsidR="00276023" w:rsidRDefault="00B45657">
          <w:pPr>
            <w:pStyle w:val="TOC2"/>
            <w:tabs>
              <w:tab w:val="right" w:leader="dot" w:pos="9062"/>
            </w:tabs>
            <w:rPr>
              <w:rFonts w:eastAsiaTheme="minorEastAsia"/>
              <w:noProof/>
              <w:lang w:eastAsia="tr-TR"/>
            </w:rPr>
          </w:pPr>
          <w:hyperlink w:anchor="_Toc491348169" w:history="1">
            <w:r w:rsidR="00276023" w:rsidRPr="0015050C">
              <w:rPr>
                <w:rStyle w:val="Hyperlink"/>
                <w:noProof/>
                <w:lang w:val="en-US"/>
              </w:rPr>
              <w:t>Madencilik</w:t>
            </w:r>
            <w:r w:rsidR="00276023">
              <w:rPr>
                <w:noProof/>
                <w:webHidden/>
              </w:rPr>
              <w:tab/>
            </w:r>
            <w:r w:rsidR="00276023">
              <w:rPr>
                <w:noProof/>
                <w:webHidden/>
              </w:rPr>
              <w:fldChar w:fldCharType="begin"/>
            </w:r>
            <w:r w:rsidR="00276023">
              <w:rPr>
                <w:noProof/>
                <w:webHidden/>
              </w:rPr>
              <w:instrText xml:space="preserve"> PAGEREF _Toc491348169 \h </w:instrText>
            </w:r>
            <w:r w:rsidR="00276023">
              <w:rPr>
                <w:noProof/>
                <w:webHidden/>
              </w:rPr>
            </w:r>
            <w:r w:rsidR="00276023">
              <w:rPr>
                <w:noProof/>
                <w:webHidden/>
              </w:rPr>
              <w:fldChar w:fldCharType="separate"/>
            </w:r>
            <w:r w:rsidR="00276023">
              <w:rPr>
                <w:noProof/>
                <w:webHidden/>
              </w:rPr>
              <w:t>9</w:t>
            </w:r>
            <w:r w:rsidR="00276023">
              <w:rPr>
                <w:noProof/>
                <w:webHidden/>
              </w:rPr>
              <w:fldChar w:fldCharType="end"/>
            </w:r>
          </w:hyperlink>
        </w:p>
        <w:p w:rsidR="00276023" w:rsidRDefault="00B45657">
          <w:pPr>
            <w:pStyle w:val="TOC1"/>
            <w:tabs>
              <w:tab w:val="right" w:leader="dot" w:pos="9062"/>
            </w:tabs>
            <w:rPr>
              <w:rFonts w:eastAsiaTheme="minorEastAsia"/>
              <w:noProof/>
              <w:lang w:eastAsia="tr-TR"/>
            </w:rPr>
          </w:pPr>
          <w:hyperlink w:anchor="_Toc491348170" w:history="1">
            <w:r w:rsidR="00276023" w:rsidRPr="0015050C">
              <w:rPr>
                <w:rStyle w:val="Hyperlink"/>
                <w:noProof/>
              </w:rPr>
              <w:t>Dış Ticaret</w:t>
            </w:r>
            <w:r w:rsidR="00276023">
              <w:rPr>
                <w:noProof/>
                <w:webHidden/>
              </w:rPr>
              <w:tab/>
            </w:r>
            <w:r w:rsidR="00276023">
              <w:rPr>
                <w:noProof/>
                <w:webHidden/>
              </w:rPr>
              <w:fldChar w:fldCharType="begin"/>
            </w:r>
            <w:r w:rsidR="00276023">
              <w:rPr>
                <w:noProof/>
                <w:webHidden/>
              </w:rPr>
              <w:instrText xml:space="preserve"> PAGEREF _Toc491348170 \h </w:instrText>
            </w:r>
            <w:r w:rsidR="00276023">
              <w:rPr>
                <w:noProof/>
                <w:webHidden/>
              </w:rPr>
            </w:r>
            <w:r w:rsidR="00276023">
              <w:rPr>
                <w:noProof/>
                <w:webHidden/>
              </w:rPr>
              <w:fldChar w:fldCharType="separate"/>
            </w:r>
            <w:r w:rsidR="00276023">
              <w:rPr>
                <w:noProof/>
                <w:webHidden/>
              </w:rPr>
              <w:t>9</w:t>
            </w:r>
            <w:r w:rsidR="00276023">
              <w:rPr>
                <w:noProof/>
                <w:webHidden/>
              </w:rPr>
              <w:fldChar w:fldCharType="end"/>
            </w:r>
          </w:hyperlink>
        </w:p>
        <w:p w:rsidR="00276023" w:rsidRDefault="00B45657">
          <w:pPr>
            <w:pStyle w:val="TOC3"/>
            <w:tabs>
              <w:tab w:val="right" w:leader="dot" w:pos="9062"/>
            </w:tabs>
            <w:rPr>
              <w:rFonts w:eastAsiaTheme="minorEastAsia"/>
              <w:noProof/>
              <w:lang w:eastAsia="tr-TR"/>
            </w:rPr>
          </w:pPr>
          <w:hyperlink w:anchor="_Toc491348171" w:history="1">
            <w:r w:rsidR="00276023" w:rsidRPr="0015050C">
              <w:rPr>
                <w:rStyle w:val="Hyperlink"/>
                <w:noProof/>
                <w:lang w:val="en-US"/>
              </w:rPr>
              <w:t>Dış Ticaret Göstergeleri (Milyon Dolar)</w:t>
            </w:r>
            <w:r w:rsidR="00276023">
              <w:rPr>
                <w:noProof/>
                <w:webHidden/>
              </w:rPr>
              <w:tab/>
            </w:r>
            <w:r w:rsidR="00276023">
              <w:rPr>
                <w:noProof/>
                <w:webHidden/>
              </w:rPr>
              <w:fldChar w:fldCharType="begin"/>
            </w:r>
            <w:r w:rsidR="00276023">
              <w:rPr>
                <w:noProof/>
                <w:webHidden/>
              </w:rPr>
              <w:instrText xml:space="preserve"> PAGEREF _Toc491348171 \h </w:instrText>
            </w:r>
            <w:r w:rsidR="00276023">
              <w:rPr>
                <w:noProof/>
                <w:webHidden/>
              </w:rPr>
            </w:r>
            <w:r w:rsidR="00276023">
              <w:rPr>
                <w:noProof/>
                <w:webHidden/>
              </w:rPr>
              <w:fldChar w:fldCharType="separate"/>
            </w:r>
            <w:r w:rsidR="00276023">
              <w:rPr>
                <w:noProof/>
                <w:webHidden/>
              </w:rPr>
              <w:t>10</w:t>
            </w:r>
            <w:r w:rsidR="00276023">
              <w:rPr>
                <w:noProof/>
                <w:webHidden/>
              </w:rPr>
              <w:fldChar w:fldCharType="end"/>
            </w:r>
          </w:hyperlink>
        </w:p>
        <w:p w:rsidR="00276023" w:rsidRDefault="00B45657">
          <w:pPr>
            <w:pStyle w:val="TOC1"/>
            <w:tabs>
              <w:tab w:val="right" w:leader="dot" w:pos="9062"/>
            </w:tabs>
            <w:rPr>
              <w:rFonts w:eastAsiaTheme="minorEastAsia"/>
              <w:noProof/>
              <w:lang w:eastAsia="tr-TR"/>
            </w:rPr>
          </w:pPr>
          <w:hyperlink w:anchor="_Toc491348172" w:history="1">
            <w:r w:rsidR="00276023" w:rsidRPr="0015050C">
              <w:rPr>
                <w:rStyle w:val="Hyperlink"/>
                <w:noProof/>
                <w:lang w:val="en-US"/>
              </w:rPr>
              <w:t>İTHALAT</w:t>
            </w:r>
            <w:r w:rsidR="00276023">
              <w:rPr>
                <w:noProof/>
                <w:webHidden/>
              </w:rPr>
              <w:tab/>
            </w:r>
            <w:r w:rsidR="00276023">
              <w:rPr>
                <w:noProof/>
                <w:webHidden/>
              </w:rPr>
              <w:fldChar w:fldCharType="begin"/>
            </w:r>
            <w:r w:rsidR="00276023">
              <w:rPr>
                <w:noProof/>
                <w:webHidden/>
              </w:rPr>
              <w:instrText xml:space="preserve"> PAGEREF _Toc491348172 \h </w:instrText>
            </w:r>
            <w:r w:rsidR="00276023">
              <w:rPr>
                <w:noProof/>
                <w:webHidden/>
              </w:rPr>
            </w:r>
            <w:r w:rsidR="00276023">
              <w:rPr>
                <w:noProof/>
                <w:webHidden/>
              </w:rPr>
              <w:fldChar w:fldCharType="separate"/>
            </w:r>
            <w:r w:rsidR="00276023">
              <w:rPr>
                <w:noProof/>
                <w:webHidden/>
              </w:rPr>
              <w:t>10</w:t>
            </w:r>
            <w:r w:rsidR="00276023">
              <w:rPr>
                <w:noProof/>
                <w:webHidden/>
              </w:rPr>
              <w:fldChar w:fldCharType="end"/>
            </w:r>
          </w:hyperlink>
        </w:p>
        <w:p w:rsidR="00276023" w:rsidRDefault="00B45657">
          <w:pPr>
            <w:pStyle w:val="TOC2"/>
            <w:tabs>
              <w:tab w:val="right" w:leader="dot" w:pos="9062"/>
            </w:tabs>
            <w:rPr>
              <w:rFonts w:eastAsiaTheme="minorEastAsia"/>
              <w:noProof/>
              <w:lang w:eastAsia="tr-TR"/>
            </w:rPr>
          </w:pPr>
          <w:hyperlink w:anchor="_Toc491348173" w:history="1">
            <w:r w:rsidR="00276023" w:rsidRPr="0015050C">
              <w:rPr>
                <w:rStyle w:val="Hyperlink"/>
                <w:noProof/>
              </w:rPr>
              <w:t>İthalat yaptığı başlıca ülkeler (1000$)</w:t>
            </w:r>
            <w:r w:rsidR="00276023">
              <w:rPr>
                <w:noProof/>
                <w:webHidden/>
              </w:rPr>
              <w:tab/>
            </w:r>
            <w:r w:rsidR="00276023">
              <w:rPr>
                <w:noProof/>
                <w:webHidden/>
              </w:rPr>
              <w:fldChar w:fldCharType="begin"/>
            </w:r>
            <w:r w:rsidR="00276023">
              <w:rPr>
                <w:noProof/>
                <w:webHidden/>
              </w:rPr>
              <w:instrText xml:space="preserve"> PAGEREF _Toc491348173 \h </w:instrText>
            </w:r>
            <w:r w:rsidR="00276023">
              <w:rPr>
                <w:noProof/>
                <w:webHidden/>
              </w:rPr>
            </w:r>
            <w:r w:rsidR="00276023">
              <w:rPr>
                <w:noProof/>
                <w:webHidden/>
              </w:rPr>
              <w:fldChar w:fldCharType="separate"/>
            </w:r>
            <w:r w:rsidR="00276023">
              <w:rPr>
                <w:noProof/>
                <w:webHidden/>
              </w:rPr>
              <w:t>10</w:t>
            </w:r>
            <w:r w:rsidR="00276023">
              <w:rPr>
                <w:noProof/>
                <w:webHidden/>
              </w:rPr>
              <w:fldChar w:fldCharType="end"/>
            </w:r>
          </w:hyperlink>
        </w:p>
        <w:p w:rsidR="00276023" w:rsidRDefault="00B45657">
          <w:pPr>
            <w:pStyle w:val="TOC2"/>
            <w:tabs>
              <w:tab w:val="right" w:leader="dot" w:pos="9062"/>
            </w:tabs>
            <w:rPr>
              <w:rFonts w:eastAsiaTheme="minorEastAsia"/>
              <w:noProof/>
              <w:lang w:eastAsia="tr-TR"/>
            </w:rPr>
          </w:pPr>
          <w:hyperlink w:anchor="_Toc491348174" w:history="1">
            <w:r w:rsidR="00276023" w:rsidRPr="0015050C">
              <w:rPr>
                <w:rStyle w:val="Hyperlink"/>
                <w:noProof/>
              </w:rPr>
              <w:t>Kenya’nın İthalatında Başlıca Ürünler (1000$)</w:t>
            </w:r>
            <w:r w:rsidR="00276023">
              <w:rPr>
                <w:noProof/>
                <w:webHidden/>
              </w:rPr>
              <w:tab/>
            </w:r>
            <w:r w:rsidR="00276023">
              <w:rPr>
                <w:noProof/>
                <w:webHidden/>
              </w:rPr>
              <w:fldChar w:fldCharType="begin"/>
            </w:r>
            <w:r w:rsidR="00276023">
              <w:rPr>
                <w:noProof/>
                <w:webHidden/>
              </w:rPr>
              <w:instrText xml:space="preserve"> PAGEREF _Toc491348174 \h </w:instrText>
            </w:r>
            <w:r w:rsidR="00276023">
              <w:rPr>
                <w:noProof/>
                <w:webHidden/>
              </w:rPr>
            </w:r>
            <w:r w:rsidR="00276023">
              <w:rPr>
                <w:noProof/>
                <w:webHidden/>
              </w:rPr>
              <w:fldChar w:fldCharType="separate"/>
            </w:r>
            <w:r w:rsidR="00276023">
              <w:rPr>
                <w:noProof/>
                <w:webHidden/>
              </w:rPr>
              <w:t>10</w:t>
            </w:r>
            <w:r w:rsidR="00276023">
              <w:rPr>
                <w:noProof/>
                <w:webHidden/>
              </w:rPr>
              <w:fldChar w:fldCharType="end"/>
            </w:r>
          </w:hyperlink>
        </w:p>
        <w:p w:rsidR="00276023" w:rsidRDefault="00B45657">
          <w:pPr>
            <w:pStyle w:val="TOC1"/>
            <w:tabs>
              <w:tab w:val="right" w:leader="dot" w:pos="9062"/>
            </w:tabs>
            <w:rPr>
              <w:rFonts w:eastAsiaTheme="minorEastAsia"/>
              <w:noProof/>
              <w:lang w:eastAsia="tr-TR"/>
            </w:rPr>
          </w:pPr>
          <w:hyperlink w:anchor="_Toc491348175" w:history="1">
            <w:r w:rsidR="00276023" w:rsidRPr="0015050C">
              <w:rPr>
                <w:rStyle w:val="Hyperlink"/>
                <w:noProof/>
              </w:rPr>
              <w:t>İHRACAT</w:t>
            </w:r>
            <w:r w:rsidR="00276023">
              <w:rPr>
                <w:noProof/>
                <w:webHidden/>
              </w:rPr>
              <w:tab/>
            </w:r>
            <w:r w:rsidR="00276023">
              <w:rPr>
                <w:noProof/>
                <w:webHidden/>
              </w:rPr>
              <w:fldChar w:fldCharType="begin"/>
            </w:r>
            <w:r w:rsidR="00276023">
              <w:rPr>
                <w:noProof/>
                <w:webHidden/>
              </w:rPr>
              <w:instrText xml:space="preserve"> PAGEREF _Toc491348175 \h </w:instrText>
            </w:r>
            <w:r w:rsidR="00276023">
              <w:rPr>
                <w:noProof/>
                <w:webHidden/>
              </w:rPr>
            </w:r>
            <w:r w:rsidR="00276023">
              <w:rPr>
                <w:noProof/>
                <w:webHidden/>
              </w:rPr>
              <w:fldChar w:fldCharType="separate"/>
            </w:r>
            <w:r w:rsidR="00276023">
              <w:rPr>
                <w:noProof/>
                <w:webHidden/>
              </w:rPr>
              <w:t>11</w:t>
            </w:r>
            <w:r w:rsidR="00276023">
              <w:rPr>
                <w:noProof/>
                <w:webHidden/>
              </w:rPr>
              <w:fldChar w:fldCharType="end"/>
            </w:r>
          </w:hyperlink>
        </w:p>
        <w:p w:rsidR="00276023" w:rsidRDefault="00B45657">
          <w:pPr>
            <w:pStyle w:val="TOC2"/>
            <w:tabs>
              <w:tab w:val="right" w:leader="dot" w:pos="9062"/>
            </w:tabs>
            <w:rPr>
              <w:rFonts w:eastAsiaTheme="minorEastAsia"/>
              <w:noProof/>
              <w:lang w:eastAsia="tr-TR"/>
            </w:rPr>
          </w:pPr>
          <w:hyperlink w:anchor="_Toc491348176" w:history="1">
            <w:r w:rsidR="00276023" w:rsidRPr="0015050C">
              <w:rPr>
                <w:rStyle w:val="Hyperlink"/>
                <w:noProof/>
              </w:rPr>
              <w:t>İhracat yaptığı başlıca ülkeler (1000$)</w:t>
            </w:r>
            <w:r w:rsidR="00276023">
              <w:rPr>
                <w:noProof/>
                <w:webHidden/>
              </w:rPr>
              <w:tab/>
            </w:r>
            <w:r w:rsidR="00276023">
              <w:rPr>
                <w:noProof/>
                <w:webHidden/>
              </w:rPr>
              <w:fldChar w:fldCharType="begin"/>
            </w:r>
            <w:r w:rsidR="00276023">
              <w:rPr>
                <w:noProof/>
                <w:webHidden/>
              </w:rPr>
              <w:instrText xml:space="preserve"> PAGEREF _Toc491348176 \h </w:instrText>
            </w:r>
            <w:r w:rsidR="00276023">
              <w:rPr>
                <w:noProof/>
                <w:webHidden/>
              </w:rPr>
            </w:r>
            <w:r w:rsidR="00276023">
              <w:rPr>
                <w:noProof/>
                <w:webHidden/>
              </w:rPr>
              <w:fldChar w:fldCharType="separate"/>
            </w:r>
            <w:r w:rsidR="00276023">
              <w:rPr>
                <w:noProof/>
                <w:webHidden/>
              </w:rPr>
              <w:t>11</w:t>
            </w:r>
            <w:r w:rsidR="00276023">
              <w:rPr>
                <w:noProof/>
                <w:webHidden/>
              </w:rPr>
              <w:fldChar w:fldCharType="end"/>
            </w:r>
          </w:hyperlink>
        </w:p>
        <w:p w:rsidR="00276023" w:rsidRDefault="00B45657">
          <w:pPr>
            <w:pStyle w:val="TOC2"/>
            <w:tabs>
              <w:tab w:val="right" w:leader="dot" w:pos="9062"/>
            </w:tabs>
            <w:rPr>
              <w:rFonts w:eastAsiaTheme="minorEastAsia"/>
              <w:noProof/>
              <w:lang w:eastAsia="tr-TR"/>
            </w:rPr>
          </w:pPr>
          <w:hyperlink w:anchor="_Toc491348177" w:history="1">
            <w:r w:rsidR="00276023" w:rsidRPr="0015050C">
              <w:rPr>
                <w:rStyle w:val="Hyperlink"/>
                <w:noProof/>
              </w:rPr>
              <w:t>Kenya’nın İhracatında Başlıca Ürünler (1000$)</w:t>
            </w:r>
            <w:r w:rsidR="00276023">
              <w:rPr>
                <w:noProof/>
                <w:webHidden/>
              </w:rPr>
              <w:tab/>
            </w:r>
            <w:r w:rsidR="00276023">
              <w:rPr>
                <w:noProof/>
                <w:webHidden/>
              </w:rPr>
              <w:fldChar w:fldCharType="begin"/>
            </w:r>
            <w:r w:rsidR="00276023">
              <w:rPr>
                <w:noProof/>
                <w:webHidden/>
              </w:rPr>
              <w:instrText xml:space="preserve"> PAGEREF _Toc491348177 \h </w:instrText>
            </w:r>
            <w:r w:rsidR="00276023">
              <w:rPr>
                <w:noProof/>
                <w:webHidden/>
              </w:rPr>
            </w:r>
            <w:r w:rsidR="00276023">
              <w:rPr>
                <w:noProof/>
                <w:webHidden/>
              </w:rPr>
              <w:fldChar w:fldCharType="separate"/>
            </w:r>
            <w:r w:rsidR="00276023">
              <w:rPr>
                <w:noProof/>
                <w:webHidden/>
              </w:rPr>
              <w:t>11</w:t>
            </w:r>
            <w:r w:rsidR="00276023">
              <w:rPr>
                <w:noProof/>
                <w:webHidden/>
              </w:rPr>
              <w:fldChar w:fldCharType="end"/>
            </w:r>
          </w:hyperlink>
        </w:p>
        <w:p w:rsidR="00276023" w:rsidRDefault="00B45657">
          <w:pPr>
            <w:pStyle w:val="TOC2"/>
            <w:tabs>
              <w:tab w:val="right" w:leader="dot" w:pos="9062"/>
            </w:tabs>
            <w:rPr>
              <w:rFonts w:eastAsiaTheme="minorEastAsia"/>
              <w:noProof/>
              <w:lang w:eastAsia="tr-TR"/>
            </w:rPr>
          </w:pPr>
          <w:hyperlink w:anchor="_Toc491348178" w:history="1">
            <w:r w:rsidR="00276023" w:rsidRPr="0015050C">
              <w:rPr>
                <w:rStyle w:val="Hyperlink"/>
                <w:noProof/>
              </w:rPr>
              <w:t>Yabancı Yatırımlar</w:t>
            </w:r>
            <w:r w:rsidR="00276023">
              <w:rPr>
                <w:noProof/>
                <w:webHidden/>
              </w:rPr>
              <w:tab/>
            </w:r>
            <w:r w:rsidR="00276023">
              <w:rPr>
                <w:noProof/>
                <w:webHidden/>
              </w:rPr>
              <w:fldChar w:fldCharType="begin"/>
            </w:r>
            <w:r w:rsidR="00276023">
              <w:rPr>
                <w:noProof/>
                <w:webHidden/>
              </w:rPr>
              <w:instrText xml:space="preserve"> PAGEREF _Toc491348178 \h </w:instrText>
            </w:r>
            <w:r w:rsidR="00276023">
              <w:rPr>
                <w:noProof/>
                <w:webHidden/>
              </w:rPr>
            </w:r>
            <w:r w:rsidR="00276023">
              <w:rPr>
                <w:noProof/>
                <w:webHidden/>
              </w:rPr>
              <w:fldChar w:fldCharType="separate"/>
            </w:r>
            <w:r w:rsidR="00276023">
              <w:rPr>
                <w:noProof/>
                <w:webHidden/>
              </w:rPr>
              <w:t>12</w:t>
            </w:r>
            <w:r w:rsidR="00276023">
              <w:rPr>
                <w:noProof/>
                <w:webHidden/>
              </w:rPr>
              <w:fldChar w:fldCharType="end"/>
            </w:r>
          </w:hyperlink>
        </w:p>
        <w:p w:rsidR="00276023" w:rsidRDefault="00B45657">
          <w:pPr>
            <w:pStyle w:val="TOC3"/>
            <w:tabs>
              <w:tab w:val="right" w:leader="dot" w:pos="9062"/>
            </w:tabs>
            <w:rPr>
              <w:rFonts w:eastAsiaTheme="minorEastAsia"/>
              <w:noProof/>
              <w:lang w:eastAsia="tr-TR"/>
            </w:rPr>
          </w:pPr>
          <w:hyperlink w:anchor="_Toc491348179" w:history="1">
            <w:r w:rsidR="00276023" w:rsidRPr="0015050C">
              <w:rPr>
                <w:rStyle w:val="Hyperlink"/>
                <w:noProof/>
              </w:rPr>
              <w:t>Doğrudan Yabancı Yatırımlar (Milyon Dolar)</w:t>
            </w:r>
            <w:r w:rsidR="00276023">
              <w:rPr>
                <w:noProof/>
                <w:webHidden/>
              </w:rPr>
              <w:tab/>
            </w:r>
            <w:r w:rsidR="00276023">
              <w:rPr>
                <w:noProof/>
                <w:webHidden/>
              </w:rPr>
              <w:fldChar w:fldCharType="begin"/>
            </w:r>
            <w:r w:rsidR="00276023">
              <w:rPr>
                <w:noProof/>
                <w:webHidden/>
              </w:rPr>
              <w:instrText xml:space="preserve"> PAGEREF _Toc491348179 \h </w:instrText>
            </w:r>
            <w:r w:rsidR="00276023">
              <w:rPr>
                <w:noProof/>
                <w:webHidden/>
              </w:rPr>
            </w:r>
            <w:r w:rsidR="00276023">
              <w:rPr>
                <w:noProof/>
                <w:webHidden/>
              </w:rPr>
              <w:fldChar w:fldCharType="separate"/>
            </w:r>
            <w:r w:rsidR="00276023">
              <w:rPr>
                <w:noProof/>
                <w:webHidden/>
              </w:rPr>
              <w:t>13</w:t>
            </w:r>
            <w:r w:rsidR="00276023">
              <w:rPr>
                <w:noProof/>
                <w:webHidden/>
              </w:rPr>
              <w:fldChar w:fldCharType="end"/>
            </w:r>
          </w:hyperlink>
        </w:p>
        <w:p w:rsidR="00276023" w:rsidRDefault="00B45657">
          <w:pPr>
            <w:pStyle w:val="TOC3"/>
            <w:tabs>
              <w:tab w:val="right" w:leader="dot" w:pos="9062"/>
            </w:tabs>
            <w:rPr>
              <w:rFonts w:eastAsiaTheme="minorEastAsia"/>
              <w:noProof/>
              <w:lang w:eastAsia="tr-TR"/>
            </w:rPr>
          </w:pPr>
          <w:hyperlink w:anchor="_Toc491348180" w:history="1">
            <w:r w:rsidR="00276023" w:rsidRPr="0015050C">
              <w:rPr>
                <w:rStyle w:val="Hyperlink"/>
                <w:noProof/>
                <w:lang w:val="en"/>
              </w:rPr>
              <w:t>Yabancı Yatırımlar Hakkında Merkezi ve Yerel Yönetimlerin Kanun, Yönetmelik ve Uygulamaları</w:t>
            </w:r>
            <w:r w:rsidR="00276023">
              <w:rPr>
                <w:noProof/>
                <w:webHidden/>
              </w:rPr>
              <w:tab/>
            </w:r>
            <w:r w:rsidR="00276023">
              <w:rPr>
                <w:noProof/>
                <w:webHidden/>
              </w:rPr>
              <w:fldChar w:fldCharType="begin"/>
            </w:r>
            <w:r w:rsidR="00276023">
              <w:rPr>
                <w:noProof/>
                <w:webHidden/>
              </w:rPr>
              <w:instrText xml:space="preserve"> PAGEREF _Toc491348180 \h </w:instrText>
            </w:r>
            <w:r w:rsidR="00276023">
              <w:rPr>
                <w:noProof/>
                <w:webHidden/>
              </w:rPr>
            </w:r>
            <w:r w:rsidR="00276023">
              <w:rPr>
                <w:noProof/>
                <w:webHidden/>
              </w:rPr>
              <w:fldChar w:fldCharType="separate"/>
            </w:r>
            <w:r w:rsidR="00276023">
              <w:rPr>
                <w:noProof/>
                <w:webHidden/>
              </w:rPr>
              <w:t>13</w:t>
            </w:r>
            <w:r w:rsidR="00276023">
              <w:rPr>
                <w:noProof/>
                <w:webHidden/>
              </w:rPr>
              <w:fldChar w:fldCharType="end"/>
            </w:r>
          </w:hyperlink>
        </w:p>
        <w:p w:rsidR="00276023" w:rsidRDefault="00B45657">
          <w:pPr>
            <w:pStyle w:val="TOC3"/>
            <w:tabs>
              <w:tab w:val="right" w:leader="dot" w:pos="9062"/>
            </w:tabs>
            <w:rPr>
              <w:rFonts w:eastAsiaTheme="minorEastAsia"/>
              <w:noProof/>
              <w:lang w:eastAsia="tr-TR"/>
            </w:rPr>
          </w:pPr>
          <w:hyperlink w:anchor="_Toc491348181" w:history="1">
            <w:r w:rsidR="00276023" w:rsidRPr="0015050C">
              <w:rPr>
                <w:rStyle w:val="Hyperlink"/>
                <w:noProof/>
                <w:lang w:val="en"/>
              </w:rPr>
              <w:t>Yatırım Teşvik Politikaları ve Uygulamaları</w:t>
            </w:r>
            <w:r w:rsidR="00276023">
              <w:rPr>
                <w:noProof/>
                <w:webHidden/>
              </w:rPr>
              <w:tab/>
            </w:r>
            <w:r w:rsidR="00276023">
              <w:rPr>
                <w:noProof/>
                <w:webHidden/>
              </w:rPr>
              <w:fldChar w:fldCharType="begin"/>
            </w:r>
            <w:r w:rsidR="00276023">
              <w:rPr>
                <w:noProof/>
                <w:webHidden/>
              </w:rPr>
              <w:instrText xml:space="preserve"> PAGEREF _Toc491348181 \h </w:instrText>
            </w:r>
            <w:r w:rsidR="00276023">
              <w:rPr>
                <w:noProof/>
                <w:webHidden/>
              </w:rPr>
            </w:r>
            <w:r w:rsidR="00276023">
              <w:rPr>
                <w:noProof/>
                <w:webHidden/>
              </w:rPr>
              <w:fldChar w:fldCharType="separate"/>
            </w:r>
            <w:r w:rsidR="00276023">
              <w:rPr>
                <w:noProof/>
                <w:webHidden/>
              </w:rPr>
              <w:t>14</w:t>
            </w:r>
            <w:r w:rsidR="00276023">
              <w:rPr>
                <w:noProof/>
                <w:webHidden/>
              </w:rPr>
              <w:fldChar w:fldCharType="end"/>
            </w:r>
          </w:hyperlink>
        </w:p>
        <w:p w:rsidR="00276023" w:rsidRDefault="00B45657">
          <w:pPr>
            <w:pStyle w:val="TOC3"/>
            <w:tabs>
              <w:tab w:val="right" w:leader="dot" w:pos="9062"/>
            </w:tabs>
            <w:rPr>
              <w:rFonts w:eastAsiaTheme="minorEastAsia"/>
              <w:noProof/>
              <w:lang w:eastAsia="tr-TR"/>
            </w:rPr>
          </w:pPr>
          <w:hyperlink w:anchor="_Toc491348182" w:history="1">
            <w:r w:rsidR="00276023" w:rsidRPr="0015050C">
              <w:rPr>
                <w:rStyle w:val="Hyperlink"/>
                <w:noProof/>
                <w:lang w:val="en"/>
              </w:rPr>
              <w:t>Çalışma İzni, Sosyal Güvenlik Sistemi</w:t>
            </w:r>
            <w:r w:rsidR="00276023">
              <w:rPr>
                <w:noProof/>
                <w:webHidden/>
              </w:rPr>
              <w:tab/>
            </w:r>
            <w:r w:rsidR="00276023">
              <w:rPr>
                <w:noProof/>
                <w:webHidden/>
              </w:rPr>
              <w:fldChar w:fldCharType="begin"/>
            </w:r>
            <w:r w:rsidR="00276023">
              <w:rPr>
                <w:noProof/>
                <w:webHidden/>
              </w:rPr>
              <w:instrText xml:space="preserve"> PAGEREF _Toc491348182 \h </w:instrText>
            </w:r>
            <w:r w:rsidR="00276023">
              <w:rPr>
                <w:noProof/>
                <w:webHidden/>
              </w:rPr>
            </w:r>
            <w:r w:rsidR="00276023">
              <w:rPr>
                <w:noProof/>
                <w:webHidden/>
              </w:rPr>
              <w:fldChar w:fldCharType="separate"/>
            </w:r>
            <w:r w:rsidR="00276023">
              <w:rPr>
                <w:noProof/>
                <w:webHidden/>
              </w:rPr>
              <w:t>14</w:t>
            </w:r>
            <w:r w:rsidR="00276023">
              <w:rPr>
                <w:noProof/>
                <w:webHidden/>
              </w:rPr>
              <w:fldChar w:fldCharType="end"/>
            </w:r>
          </w:hyperlink>
        </w:p>
        <w:p w:rsidR="00276023" w:rsidRDefault="00B45657">
          <w:pPr>
            <w:pStyle w:val="TOC3"/>
            <w:tabs>
              <w:tab w:val="right" w:leader="dot" w:pos="9062"/>
            </w:tabs>
            <w:rPr>
              <w:rFonts w:eastAsiaTheme="minorEastAsia"/>
              <w:noProof/>
              <w:lang w:eastAsia="tr-TR"/>
            </w:rPr>
          </w:pPr>
          <w:hyperlink w:anchor="_Toc491348183" w:history="1">
            <w:r w:rsidR="00276023" w:rsidRPr="0015050C">
              <w:rPr>
                <w:rStyle w:val="Hyperlink"/>
                <w:noProof/>
              </w:rPr>
              <w:t>Yerel Ortak Bulma</w:t>
            </w:r>
            <w:r w:rsidR="00276023">
              <w:rPr>
                <w:noProof/>
                <w:webHidden/>
              </w:rPr>
              <w:tab/>
            </w:r>
            <w:r w:rsidR="00276023">
              <w:rPr>
                <w:noProof/>
                <w:webHidden/>
              </w:rPr>
              <w:fldChar w:fldCharType="begin"/>
            </w:r>
            <w:r w:rsidR="00276023">
              <w:rPr>
                <w:noProof/>
                <w:webHidden/>
              </w:rPr>
              <w:instrText xml:space="preserve"> PAGEREF _Toc491348183 \h </w:instrText>
            </w:r>
            <w:r w:rsidR="00276023">
              <w:rPr>
                <w:noProof/>
                <w:webHidden/>
              </w:rPr>
            </w:r>
            <w:r w:rsidR="00276023">
              <w:rPr>
                <w:noProof/>
                <w:webHidden/>
              </w:rPr>
              <w:fldChar w:fldCharType="separate"/>
            </w:r>
            <w:r w:rsidR="00276023">
              <w:rPr>
                <w:noProof/>
                <w:webHidden/>
              </w:rPr>
              <w:t>14</w:t>
            </w:r>
            <w:r w:rsidR="00276023">
              <w:rPr>
                <w:noProof/>
                <w:webHidden/>
              </w:rPr>
              <w:fldChar w:fldCharType="end"/>
            </w:r>
          </w:hyperlink>
        </w:p>
        <w:p w:rsidR="00276023" w:rsidRDefault="00B45657">
          <w:pPr>
            <w:pStyle w:val="TOC3"/>
            <w:tabs>
              <w:tab w:val="right" w:leader="dot" w:pos="9062"/>
            </w:tabs>
            <w:rPr>
              <w:rFonts w:eastAsiaTheme="minorEastAsia"/>
              <w:noProof/>
              <w:lang w:eastAsia="tr-TR"/>
            </w:rPr>
          </w:pPr>
          <w:hyperlink w:anchor="_Toc491348184" w:history="1">
            <w:r w:rsidR="00276023" w:rsidRPr="0015050C">
              <w:rPr>
                <w:rStyle w:val="Hyperlink"/>
                <w:noProof/>
                <w:lang w:val="en"/>
              </w:rPr>
              <w:t>Sektördeki Türk ve Yabancı Yatırımlar</w:t>
            </w:r>
            <w:r w:rsidR="00276023">
              <w:rPr>
                <w:noProof/>
                <w:webHidden/>
              </w:rPr>
              <w:tab/>
            </w:r>
            <w:r w:rsidR="00276023">
              <w:rPr>
                <w:noProof/>
                <w:webHidden/>
              </w:rPr>
              <w:fldChar w:fldCharType="begin"/>
            </w:r>
            <w:r w:rsidR="00276023">
              <w:rPr>
                <w:noProof/>
                <w:webHidden/>
              </w:rPr>
              <w:instrText xml:space="preserve"> PAGEREF _Toc491348184 \h </w:instrText>
            </w:r>
            <w:r w:rsidR="00276023">
              <w:rPr>
                <w:noProof/>
                <w:webHidden/>
              </w:rPr>
            </w:r>
            <w:r w:rsidR="00276023">
              <w:rPr>
                <w:noProof/>
                <w:webHidden/>
              </w:rPr>
              <w:fldChar w:fldCharType="separate"/>
            </w:r>
            <w:r w:rsidR="00276023">
              <w:rPr>
                <w:noProof/>
                <w:webHidden/>
              </w:rPr>
              <w:t>15</w:t>
            </w:r>
            <w:r w:rsidR="00276023">
              <w:rPr>
                <w:noProof/>
                <w:webHidden/>
              </w:rPr>
              <w:fldChar w:fldCharType="end"/>
            </w:r>
          </w:hyperlink>
        </w:p>
        <w:p w:rsidR="00276023" w:rsidRDefault="00B45657">
          <w:pPr>
            <w:pStyle w:val="TOC3"/>
            <w:tabs>
              <w:tab w:val="right" w:leader="dot" w:pos="9062"/>
            </w:tabs>
            <w:rPr>
              <w:rFonts w:eastAsiaTheme="minorEastAsia"/>
              <w:noProof/>
              <w:lang w:eastAsia="tr-TR"/>
            </w:rPr>
          </w:pPr>
          <w:hyperlink w:anchor="_Toc491348185" w:history="1">
            <w:r w:rsidR="00276023" w:rsidRPr="0015050C">
              <w:rPr>
                <w:rStyle w:val="Hyperlink"/>
                <w:noProof/>
                <w:lang w:val="en"/>
              </w:rPr>
              <w:t>Vergiler:</w:t>
            </w:r>
            <w:r w:rsidR="00276023">
              <w:rPr>
                <w:noProof/>
                <w:webHidden/>
              </w:rPr>
              <w:tab/>
            </w:r>
            <w:r w:rsidR="00276023">
              <w:rPr>
                <w:noProof/>
                <w:webHidden/>
              </w:rPr>
              <w:fldChar w:fldCharType="begin"/>
            </w:r>
            <w:r w:rsidR="00276023">
              <w:rPr>
                <w:noProof/>
                <w:webHidden/>
              </w:rPr>
              <w:instrText xml:space="preserve"> PAGEREF _Toc491348185 \h </w:instrText>
            </w:r>
            <w:r w:rsidR="00276023">
              <w:rPr>
                <w:noProof/>
                <w:webHidden/>
              </w:rPr>
            </w:r>
            <w:r w:rsidR="00276023">
              <w:rPr>
                <w:noProof/>
                <w:webHidden/>
              </w:rPr>
              <w:fldChar w:fldCharType="separate"/>
            </w:r>
            <w:r w:rsidR="00276023">
              <w:rPr>
                <w:noProof/>
                <w:webHidden/>
              </w:rPr>
              <w:t>15</w:t>
            </w:r>
            <w:r w:rsidR="00276023">
              <w:rPr>
                <w:noProof/>
                <w:webHidden/>
              </w:rPr>
              <w:fldChar w:fldCharType="end"/>
            </w:r>
          </w:hyperlink>
        </w:p>
        <w:p w:rsidR="00276023" w:rsidRDefault="00B45657">
          <w:pPr>
            <w:pStyle w:val="TOC2"/>
            <w:tabs>
              <w:tab w:val="right" w:leader="dot" w:pos="9062"/>
            </w:tabs>
            <w:rPr>
              <w:rFonts w:eastAsiaTheme="minorEastAsia"/>
              <w:noProof/>
              <w:lang w:eastAsia="tr-TR"/>
            </w:rPr>
          </w:pPr>
          <w:hyperlink w:anchor="_Toc491348186" w:history="1">
            <w:r w:rsidR="00276023" w:rsidRPr="0015050C">
              <w:rPr>
                <w:rStyle w:val="Hyperlink"/>
                <w:noProof/>
                <w:lang w:val="en"/>
              </w:rPr>
              <w:t>Pazarın Arz Yapısı</w:t>
            </w:r>
            <w:r w:rsidR="00276023">
              <w:rPr>
                <w:noProof/>
                <w:webHidden/>
              </w:rPr>
              <w:tab/>
            </w:r>
            <w:r w:rsidR="00276023">
              <w:rPr>
                <w:noProof/>
                <w:webHidden/>
              </w:rPr>
              <w:fldChar w:fldCharType="begin"/>
            </w:r>
            <w:r w:rsidR="00276023">
              <w:rPr>
                <w:noProof/>
                <w:webHidden/>
              </w:rPr>
              <w:instrText xml:space="preserve"> PAGEREF _Toc491348186 \h </w:instrText>
            </w:r>
            <w:r w:rsidR="00276023">
              <w:rPr>
                <w:noProof/>
                <w:webHidden/>
              </w:rPr>
            </w:r>
            <w:r w:rsidR="00276023">
              <w:rPr>
                <w:noProof/>
                <w:webHidden/>
              </w:rPr>
              <w:fldChar w:fldCharType="separate"/>
            </w:r>
            <w:r w:rsidR="00276023">
              <w:rPr>
                <w:noProof/>
                <w:webHidden/>
              </w:rPr>
              <w:t>15</w:t>
            </w:r>
            <w:r w:rsidR="00276023">
              <w:rPr>
                <w:noProof/>
                <w:webHidden/>
              </w:rPr>
              <w:fldChar w:fldCharType="end"/>
            </w:r>
          </w:hyperlink>
        </w:p>
        <w:p w:rsidR="00276023" w:rsidRDefault="00B45657">
          <w:pPr>
            <w:pStyle w:val="TOC3"/>
            <w:tabs>
              <w:tab w:val="right" w:leader="dot" w:pos="9062"/>
            </w:tabs>
            <w:rPr>
              <w:rFonts w:eastAsiaTheme="minorEastAsia"/>
              <w:noProof/>
              <w:lang w:eastAsia="tr-TR"/>
            </w:rPr>
          </w:pPr>
          <w:hyperlink w:anchor="_Toc491348187" w:history="1">
            <w:r w:rsidR="00276023" w:rsidRPr="0015050C">
              <w:rPr>
                <w:rStyle w:val="Hyperlink"/>
                <w:noProof/>
                <w:lang w:val="en"/>
              </w:rPr>
              <w:t>Lokal Ürün/Hizmetler, Bunların Üretim Miktarı ve Üretici/Servis Sağlayıcı Kuruluşlar</w:t>
            </w:r>
            <w:r w:rsidR="00276023">
              <w:rPr>
                <w:noProof/>
                <w:webHidden/>
              </w:rPr>
              <w:tab/>
            </w:r>
            <w:r w:rsidR="00276023">
              <w:rPr>
                <w:noProof/>
                <w:webHidden/>
              </w:rPr>
              <w:fldChar w:fldCharType="begin"/>
            </w:r>
            <w:r w:rsidR="00276023">
              <w:rPr>
                <w:noProof/>
                <w:webHidden/>
              </w:rPr>
              <w:instrText xml:space="preserve"> PAGEREF _Toc491348187 \h </w:instrText>
            </w:r>
            <w:r w:rsidR="00276023">
              <w:rPr>
                <w:noProof/>
                <w:webHidden/>
              </w:rPr>
            </w:r>
            <w:r w:rsidR="00276023">
              <w:rPr>
                <w:noProof/>
                <w:webHidden/>
              </w:rPr>
              <w:fldChar w:fldCharType="separate"/>
            </w:r>
            <w:r w:rsidR="00276023">
              <w:rPr>
                <w:noProof/>
                <w:webHidden/>
              </w:rPr>
              <w:t>15</w:t>
            </w:r>
            <w:r w:rsidR="00276023">
              <w:rPr>
                <w:noProof/>
                <w:webHidden/>
              </w:rPr>
              <w:fldChar w:fldCharType="end"/>
            </w:r>
          </w:hyperlink>
        </w:p>
        <w:p w:rsidR="00276023" w:rsidRDefault="00B45657">
          <w:pPr>
            <w:pStyle w:val="TOC3"/>
            <w:tabs>
              <w:tab w:val="right" w:leader="dot" w:pos="9062"/>
            </w:tabs>
            <w:rPr>
              <w:rFonts w:eastAsiaTheme="minorEastAsia"/>
              <w:noProof/>
              <w:lang w:eastAsia="tr-TR"/>
            </w:rPr>
          </w:pPr>
          <w:hyperlink w:anchor="_Toc491348188" w:history="1">
            <w:r w:rsidR="00276023" w:rsidRPr="0015050C">
              <w:rPr>
                <w:rStyle w:val="Hyperlink"/>
                <w:noProof/>
                <w:lang w:val="en"/>
              </w:rPr>
              <w:t>Yabancı Menşeli Ürüm/Hizmetler, Bunların Üretim Miktarı ve Tedarikçiler</w:t>
            </w:r>
            <w:r w:rsidR="00276023">
              <w:rPr>
                <w:noProof/>
                <w:webHidden/>
              </w:rPr>
              <w:tab/>
            </w:r>
            <w:r w:rsidR="00276023">
              <w:rPr>
                <w:noProof/>
                <w:webHidden/>
              </w:rPr>
              <w:fldChar w:fldCharType="begin"/>
            </w:r>
            <w:r w:rsidR="00276023">
              <w:rPr>
                <w:noProof/>
                <w:webHidden/>
              </w:rPr>
              <w:instrText xml:space="preserve"> PAGEREF _Toc491348188 \h </w:instrText>
            </w:r>
            <w:r w:rsidR="00276023">
              <w:rPr>
                <w:noProof/>
                <w:webHidden/>
              </w:rPr>
            </w:r>
            <w:r w:rsidR="00276023">
              <w:rPr>
                <w:noProof/>
                <w:webHidden/>
              </w:rPr>
              <w:fldChar w:fldCharType="separate"/>
            </w:r>
            <w:r w:rsidR="00276023">
              <w:rPr>
                <w:noProof/>
                <w:webHidden/>
              </w:rPr>
              <w:t>15</w:t>
            </w:r>
            <w:r w:rsidR="00276023">
              <w:rPr>
                <w:noProof/>
                <w:webHidden/>
              </w:rPr>
              <w:fldChar w:fldCharType="end"/>
            </w:r>
          </w:hyperlink>
        </w:p>
        <w:p w:rsidR="00276023" w:rsidRDefault="00B45657">
          <w:pPr>
            <w:pStyle w:val="TOC3"/>
            <w:tabs>
              <w:tab w:val="right" w:leader="dot" w:pos="9062"/>
            </w:tabs>
            <w:rPr>
              <w:rFonts w:eastAsiaTheme="minorEastAsia"/>
              <w:noProof/>
              <w:lang w:eastAsia="tr-TR"/>
            </w:rPr>
          </w:pPr>
          <w:hyperlink w:anchor="_Toc491348189" w:history="1">
            <w:r w:rsidR="00276023" w:rsidRPr="0015050C">
              <w:rPr>
                <w:rStyle w:val="Hyperlink"/>
                <w:noProof/>
                <w:lang w:val="en"/>
              </w:rPr>
              <w:t>Ürün/Hizmet Sağlayıcılarının Konsantrasyonu</w:t>
            </w:r>
            <w:r w:rsidR="00276023">
              <w:rPr>
                <w:noProof/>
                <w:webHidden/>
              </w:rPr>
              <w:tab/>
            </w:r>
            <w:r w:rsidR="00276023">
              <w:rPr>
                <w:noProof/>
                <w:webHidden/>
              </w:rPr>
              <w:fldChar w:fldCharType="begin"/>
            </w:r>
            <w:r w:rsidR="00276023">
              <w:rPr>
                <w:noProof/>
                <w:webHidden/>
              </w:rPr>
              <w:instrText xml:space="preserve"> PAGEREF _Toc491348189 \h </w:instrText>
            </w:r>
            <w:r w:rsidR="00276023">
              <w:rPr>
                <w:noProof/>
                <w:webHidden/>
              </w:rPr>
            </w:r>
            <w:r w:rsidR="00276023">
              <w:rPr>
                <w:noProof/>
                <w:webHidden/>
              </w:rPr>
              <w:fldChar w:fldCharType="separate"/>
            </w:r>
            <w:r w:rsidR="00276023">
              <w:rPr>
                <w:noProof/>
                <w:webHidden/>
              </w:rPr>
              <w:t>15</w:t>
            </w:r>
            <w:r w:rsidR="00276023">
              <w:rPr>
                <w:noProof/>
                <w:webHidden/>
              </w:rPr>
              <w:fldChar w:fldCharType="end"/>
            </w:r>
          </w:hyperlink>
        </w:p>
        <w:p w:rsidR="00276023" w:rsidRDefault="00B45657">
          <w:pPr>
            <w:pStyle w:val="TOC2"/>
            <w:tabs>
              <w:tab w:val="right" w:leader="dot" w:pos="9062"/>
            </w:tabs>
            <w:rPr>
              <w:rFonts w:eastAsiaTheme="minorEastAsia"/>
              <w:noProof/>
              <w:lang w:eastAsia="tr-TR"/>
            </w:rPr>
          </w:pPr>
          <w:hyperlink w:anchor="_Toc491348190" w:history="1">
            <w:r w:rsidR="00276023" w:rsidRPr="0015050C">
              <w:rPr>
                <w:rStyle w:val="Hyperlink"/>
                <w:noProof/>
                <w:lang w:val="en"/>
              </w:rPr>
              <w:t>Pazarın Talep Yapısı</w:t>
            </w:r>
            <w:r w:rsidR="00276023">
              <w:rPr>
                <w:noProof/>
                <w:webHidden/>
              </w:rPr>
              <w:tab/>
            </w:r>
            <w:r w:rsidR="00276023">
              <w:rPr>
                <w:noProof/>
                <w:webHidden/>
              </w:rPr>
              <w:fldChar w:fldCharType="begin"/>
            </w:r>
            <w:r w:rsidR="00276023">
              <w:rPr>
                <w:noProof/>
                <w:webHidden/>
              </w:rPr>
              <w:instrText xml:space="preserve"> PAGEREF _Toc491348190 \h </w:instrText>
            </w:r>
            <w:r w:rsidR="00276023">
              <w:rPr>
                <w:noProof/>
                <w:webHidden/>
              </w:rPr>
            </w:r>
            <w:r w:rsidR="00276023">
              <w:rPr>
                <w:noProof/>
                <w:webHidden/>
              </w:rPr>
              <w:fldChar w:fldCharType="separate"/>
            </w:r>
            <w:r w:rsidR="00276023">
              <w:rPr>
                <w:noProof/>
                <w:webHidden/>
              </w:rPr>
              <w:t>16</w:t>
            </w:r>
            <w:r w:rsidR="00276023">
              <w:rPr>
                <w:noProof/>
                <w:webHidden/>
              </w:rPr>
              <w:fldChar w:fldCharType="end"/>
            </w:r>
          </w:hyperlink>
        </w:p>
        <w:p w:rsidR="00276023" w:rsidRDefault="00B45657">
          <w:pPr>
            <w:pStyle w:val="TOC3"/>
            <w:tabs>
              <w:tab w:val="right" w:leader="dot" w:pos="9062"/>
            </w:tabs>
            <w:rPr>
              <w:rFonts w:eastAsiaTheme="minorEastAsia"/>
              <w:noProof/>
              <w:lang w:eastAsia="tr-TR"/>
            </w:rPr>
          </w:pPr>
          <w:hyperlink w:anchor="_Toc491348191" w:history="1">
            <w:r w:rsidR="00276023" w:rsidRPr="0015050C">
              <w:rPr>
                <w:rStyle w:val="Hyperlink"/>
                <w:noProof/>
                <w:lang w:val="en"/>
              </w:rPr>
              <w:t>Genel Tüketim/Talep Eğilimleri</w:t>
            </w:r>
            <w:r w:rsidR="00276023">
              <w:rPr>
                <w:noProof/>
                <w:webHidden/>
              </w:rPr>
              <w:tab/>
            </w:r>
            <w:r w:rsidR="00276023">
              <w:rPr>
                <w:noProof/>
                <w:webHidden/>
              </w:rPr>
              <w:fldChar w:fldCharType="begin"/>
            </w:r>
            <w:r w:rsidR="00276023">
              <w:rPr>
                <w:noProof/>
                <w:webHidden/>
              </w:rPr>
              <w:instrText xml:space="preserve"> PAGEREF _Toc491348191 \h </w:instrText>
            </w:r>
            <w:r w:rsidR="00276023">
              <w:rPr>
                <w:noProof/>
                <w:webHidden/>
              </w:rPr>
            </w:r>
            <w:r w:rsidR="00276023">
              <w:rPr>
                <w:noProof/>
                <w:webHidden/>
              </w:rPr>
              <w:fldChar w:fldCharType="separate"/>
            </w:r>
            <w:r w:rsidR="00276023">
              <w:rPr>
                <w:noProof/>
                <w:webHidden/>
              </w:rPr>
              <w:t>16</w:t>
            </w:r>
            <w:r w:rsidR="00276023">
              <w:rPr>
                <w:noProof/>
                <w:webHidden/>
              </w:rPr>
              <w:fldChar w:fldCharType="end"/>
            </w:r>
          </w:hyperlink>
        </w:p>
        <w:p w:rsidR="00276023" w:rsidRDefault="00B45657">
          <w:pPr>
            <w:pStyle w:val="TOC3"/>
            <w:tabs>
              <w:tab w:val="right" w:leader="dot" w:pos="9062"/>
            </w:tabs>
            <w:rPr>
              <w:rFonts w:eastAsiaTheme="minorEastAsia"/>
              <w:noProof/>
              <w:lang w:eastAsia="tr-TR"/>
            </w:rPr>
          </w:pPr>
          <w:hyperlink w:anchor="_Toc491348192" w:history="1">
            <w:r w:rsidR="00276023" w:rsidRPr="0015050C">
              <w:rPr>
                <w:rStyle w:val="Hyperlink"/>
                <w:noProof/>
                <w:lang w:val="en"/>
              </w:rPr>
              <w:t>Pazarda Eksikliği Çekilen Ürün ve Hizmetler</w:t>
            </w:r>
            <w:r w:rsidR="00276023">
              <w:rPr>
                <w:noProof/>
                <w:webHidden/>
              </w:rPr>
              <w:tab/>
            </w:r>
            <w:r w:rsidR="00276023">
              <w:rPr>
                <w:noProof/>
                <w:webHidden/>
              </w:rPr>
              <w:fldChar w:fldCharType="begin"/>
            </w:r>
            <w:r w:rsidR="00276023">
              <w:rPr>
                <w:noProof/>
                <w:webHidden/>
              </w:rPr>
              <w:instrText xml:space="preserve"> PAGEREF _Toc491348192 \h </w:instrText>
            </w:r>
            <w:r w:rsidR="00276023">
              <w:rPr>
                <w:noProof/>
                <w:webHidden/>
              </w:rPr>
            </w:r>
            <w:r w:rsidR="00276023">
              <w:rPr>
                <w:noProof/>
                <w:webHidden/>
              </w:rPr>
              <w:fldChar w:fldCharType="separate"/>
            </w:r>
            <w:r w:rsidR="00276023">
              <w:rPr>
                <w:noProof/>
                <w:webHidden/>
              </w:rPr>
              <w:t>16</w:t>
            </w:r>
            <w:r w:rsidR="00276023">
              <w:rPr>
                <w:noProof/>
                <w:webHidden/>
              </w:rPr>
              <w:fldChar w:fldCharType="end"/>
            </w:r>
          </w:hyperlink>
        </w:p>
        <w:p w:rsidR="00276023" w:rsidRDefault="00B45657">
          <w:pPr>
            <w:pStyle w:val="TOC3"/>
            <w:tabs>
              <w:tab w:val="right" w:leader="dot" w:pos="9062"/>
            </w:tabs>
            <w:rPr>
              <w:rFonts w:eastAsiaTheme="minorEastAsia"/>
              <w:noProof/>
              <w:lang w:eastAsia="tr-TR"/>
            </w:rPr>
          </w:pPr>
          <w:hyperlink w:anchor="_Toc491348193" w:history="1">
            <w:r w:rsidR="00276023" w:rsidRPr="0015050C">
              <w:rPr>
                <w:rStyle w:val="Hyperlink"/>
                <w:noProof/>
                <w:lang w:val="en"/>
              </w:rPr>
              <w:t>Tüketici Profili</w:t>
            </w:r>
            <w:r w:rsidR="00276023">
              <w:rPr>
                <w:noProof/>
                <w:webHidden/>
              </w:rPr>
              <w:tab/>
            </w:r>
            <w:r w:rsidR="00276023">
              <w:rPr>
                <w:noProof/>
                <w:webHidden/>
              </w:rPr>
              <w:fldChar w:fldCharType="begin"/>
            </w:r>
            <w:r w:rsidR="00276023">
              <w:rPr>
                <w:noProof/>
                <w:webHidden/>
              </w:rPr>
              <w:instrText xml:space="preserve"> PAGEREF _Toc491348193 \h </w:instrText>
            </w:r>
            <w:r w:rsidR="00276023">
              <w:rPr>
                <w:noProof/>
                <w:webHidden/>
              </w:rPr>
            </w:r>
            <w:r w:rsidR="00276023">
              <w:rPr>
                <w:noProof/>
                <w:webHidden/>
              </w:rPr>
              <w:fldChar w:fldCharType="separate"/>
            </w:r>
            <w:r w:rsidR="00276023">
              <w:rPr>
                <w:noProof/>
                <w:webHidden/>
              </w:rPr>
              <w:t>16</w:t>
            </w:r>
            <w:r w:rsidR="00276023">
              <w:rPr>
                <w:noProof/>
                <w:webHidden/>
              </w:rPr>
              <w:fldChar w:fldCharType="end"/>
            </w:r>
          </w:hyperlink>
        </w:p>
        <w:p w:rsidR="00276023" w:rsidRDefault="00B45657">
          <w:pPr>
            <w:pStyle w:val="TOC2"/>
            <w:tabs>
              <w:tab w:val="right" w:leader="dot" w:pos="9062"/>
            </w:tabs>
            <w:rPr>
              <w:rFonts w:eastAsiaTheme="minorEastAsia"/>
              <w:noProof/>
              <w:lang w:eastAsia="tr-TR"/>
            </w:rPr>
          </w:pPr>
          <w:hyperlink w:anchor="_Toc491348194" w:history="1">
            <w:r w:rsidR="00276023" w:rsidRPr="0015050C">
              <w:rPr>
                <w:rStyle w:val="Hyperlink"/>
                <w:noProof/>
              </w:rPr>
              <w:t>Türkiye ile Ekonomik ve Ticari İlişkiler</w:t>
            </w:r>
            <w:r w:rsidR="00276023">
              <w:rPr>
                <w:noProof/>
                <w:webHidden/>
              </w:rPr>
              <w:tab/>
            </w:r>
            <w:r w:rsidR="00276023">
              <w:rPr>
                <w:noProof/>
                <w:webHidden/>
              </w:rPr>
              <w:fldChar w:fldCharType="begin"/>
            </w:r>
            <w:r w:rsidR="00276023">
              <w:rPr>
                <w:noProof/>
                <w:webHidden/>
              </w:rPr>
              <w:instrText xml:space="preserve"> PAGEREF _Toc491348194 \h </w:instrText>
            </w:r>
            <w:r w:rsidR="00276023">
              <w:rPr>
                <w:noProof/>
                <w:webHidden/>
              </w:rPr>
            </w:r>
            <w:r w:rsidR="00276023">
              <w:rPr>
                <w:noProof/>
                <w:webHidden/>
              </w:rPr>
              <w:fldChar w:fldCharType="separate"/>
            </w:r>
            <w:r w:rsidR="00276023">
              <w:rPr>
                <w:noProof/>
                <w:webHidden/>
              </w:rPr>
              <w:t>16</w:t>
            </w:r>
            <w:r w:rsidR="00276023">
              <w:rPr>
                <w:noProof/>
                <w:webHidden/>
              </w:rPr>
              <w:fldChar w:fldCharType="end"/>
            </w:r>
          </w:hyperlink>
        </w:p>
        <w:p w:rsidR="00276023" w:rsidRDefault="00B45657">
          <w:pPr>
            <w:pStyle w:val="TOC3"/>
            <w:tabs>
              <w:tab w:val="right" w:leader="dot" w:pos="9062"/>
            </w:tabs>
            <w:rPr>
              <w:rFonts w:eastAsiaTheme="minorEastAsia"/>
              <w:noProof/>
              <w:lang w:eastAsia="tr-TR"/>
            </w:rPr>
          </w:pPr>
          <w:hyperlink w:anchor="_Toc491348195" w:history="1">
            <w:r w:rsidR="00276023" w:rsidRPr="0015050C">
              <w:rPr>
                <w:rStyle w:val="Hyperlink"/>
                <w:noProof/>
              </w:rPr>
              <w:t>Türkiye - Kenya Dış Ticaret Değerleri (1.000 $)</w:t>
            </w:r>
            <w:r w:rsidR="00276023">
              <w:rPr>
                <w:noProof/>
                <w:webHidden/>
              </w:rPr>
              <w:tab/>
            </w:r>
            <w:r w:rsidR="00276023">
              <w:rPr>
                <w:noProof/>
                <w:webHidden/>
              </w:rPr>
              <w:fldChar w:fldCharType="begin"/>
            </w:r>
            <w:r w:rsidR="00276023">
              <w:rPr>
                <w:noProof/>
                <w:webHidden/>
              </w:rPr>
              <w:instrText xml:space="preserve"> PAGEREF _Toc491348195 \h </w:instrText>
            </w:r>
            <w:r w:rsidR="00276023">
              <w:rPr>
                <w:noProof/>
                <w:webHidden/>
              </w:rPr>
            </w:r>
            <w:r w:rsidR="00276023">
              <w:rPr>
                <w:noProof/>
                <w:webHidden/>
              </w:rPr>
              <w:fldChar w:fldCharType="separate"/>
            </w:r>
            <w:r w:rsidR="00276023">
              <w:rPr>
                <w:noProof/>
                <w:webHidden/>
              </w:rPr>
              <w:t>16</w:t>
            </w:r>
            <w:r w:rsidR="00276023">
              <w:rPr>
                <w:noProof/>
                <w:webHidden/>
              </w:rPr>
              <w:fldChar w:fldCharType="end"/>
            </w:r>
          </w:hyperlink>
        </w:p>
        <w:p w:rsidR="00276023" w:rsidRDefault="00B45657">
          <w:pPr>
            <w:pStyle w:val="TOC2"/>
            <w:tabs>
              <w:tab w:val="right" w:leader="dot" w:pos="9062"/>
            </w:tabs>
            <w:rPr>
              <w:rFonts w:eastAsiaTheme="minorEastAsia"/>
              <w:noProof/>
              <w:lang w:eastAsia="tr-TR"/>
            </w:rPr>
          </w:pPr>
          <w:hyperlink w:anchor="_Toc491348196" w:history="1">
            <w:r w:rsidR="00276023" w:rsidRPr="0015050C">
              <w:rPr>
                <w:rStyle w:val="Hyperlink"/>
                <w:noProof/>
              </w:rPr>
              <w:t>Türkiye ile İkili Ticaret</w:t>
            </w:r>
            <w:r w:rsidR="00276023">
              <w:rPr>
                <w:noProof/>
                <w:webHidden/>
              </w:rPr>
              <w:tab/>
            </w:r>
            <w:r w:rsidR="00276023">
              <w:rPr>
                <w:noProof/>
                <w:webHidden/>
              </w:rPr>
              <w:fldChar w:fldCharType="begin"/>
            </w:r>
            <w:r w:rsidR="00276023">
              <w:rPr>
                <w:noProof/>
                <w:webHidden/>
              </w:rPr>
              <w:instrText xml:space="preserve"> PAGEREF _Toc491348196 \h </w:instrText>
            </w:r>
            <w:r w:rsidR="00276023">
              <w:rPr>
                <w:noProof/>
                <w:webHidden/>
              </w:rPr>
            </w:r>
            <w:r w:rsidR="00276023">
              <w:rPr>
                <w:noProof/>
                <w:webHidden/>
              </w:rPr>
              <w:fldChar w:fldCharType="separate"/>
            </w:r>
            <w:r w:rsidR="00276023">
              <w:rPr>
                <w:noProof/>
                <w:webHidden/>
              </w:rPr>
              <w:t>17</w:t>
            </w:r>
            <w:r w:rsidR="00276023">
              <w:rPr>
                <w:noProof/>
                <w:webHidden/>
              </w:rPr>
              <w:fldChar w:fldCharType="end"/>
            </w:r>
          </w:hyperlink>
        </w:p>
        <w:p w:rsidR="00276023" w:rsidRDefault="00B45657">
          <w:pPr>
            <w:pStyle w:val="TOC1"/>
            <w:tabs>
              <w:tab w:val="right" w:leader="dot" w:pos="9062"/>
            </w:tabs>
            <w:rPr>
              <w:rFonts w:eastAsiaTheme="minorEastAsia"/>
              <w:noProof/>
              <w:lang w:eastAsia="tr-TR"/>
            </w:rPr>
          </w:pPr>
          <w:hyperlink w:anchor="_Toc491348197" w:history="1">
            <w:r w:rsidR="00276023" w:rsidRPr="0015050C">
              <w:rPr>
                <w:rStyle w:val="Hyperlink"/>
                <w:noProof/>
              </w:rPr>
              <w:t>Türkiye'nin Kenya'ya İhracatında Başlıca Ürünler (milyon $)</w:t>
            </w:r>
            <w:r w:rsidR="00276023">
              <w:rPr>
                <w:noProof/>
                <w:webHidden/>
              </w:rPr>
              <w:tab/>
            </w:r>
            <w:r w:rsidR="00276023">
              <w:rPr>
                <w:noProof/>
                <w:webHidden/>
              </w:rPr>
              <w:fldChar w:fldCharType="begin"/>
            </w:r>
            <w:r w:rsidR="00276023">
              <w:rPr>
                <w:noProof/>
                <w:webHidden/>
              </w:rPr>
              <w:instrText xml:space="preserve"> PAGEREF _Toc491348197 \h </w:instrText>
            </w:r>
            <w:r w:rsidR="00276023">
              <w:rPr>
                <w:noProof/>
                <w:webHidden/>
              </w:rPr>
            </w:r>
            <w:r w:rsidR="00276023">
              <w:rPr>
                <w:noProof/>
                <w:webHidden/>
              </w:rPr>
              <w:fldChar w:fldCharType="separate"/>
            </w:r>
            <w:r w:rsidR="00276023">
              <w:rPr>
                <w:noProof/>
                <w:webHidden/>
              </w:rPr>
              <w:t>17</w:t>
            </w:r>
            <w:r w:rsidR="00276023">
              <w:rPr>
                <w:noProof/>
                <w:webHidden/>
              </w:rPr>
              <w:fldChar w:fldCharType="end"/>
            </w:r>
          </w:hyperlink>
        </w:p>
        <w:p w:rsidR="00276023" w:rsidRDefault="00B45657">
          <w:pPr>
            <w:pStyle w:val="TOC2"/>
            <w:tabs>
              <w:tab w:val="right" w:leader="dot" w:pos="9062"/>
            </w:tabs>
            <w:rPr>
              <w:rFonts w:eastAsiaTheme="minorEastAsia"/>
              <w:noProof/>
              <w:lang w:eastAsia="tr-TR"/>
            </w:rPr>
          </w:pPr>
          <w:hyperlink w:anchor="_Toc491348198" w:history="1">
            <w:r w:rsidR="00276023" w:rsidRPr="0015050C">
              <w:rPr>
                <w:rStyle w:val="Hyperlink"/>
                <w:noProof/>
              </w:rPr>
              <w:t>Türkiye'nin Kenya'dan İthalatında Başlıca Ürünler (milyon $)</w:t>
            </w:r>
            <w:r w:rsidR="00276023">
              <w:rPr>
                <w:noProof/>
                <w:webHidden/>
              </w:rPr>
              <w:tab/>
            </w:r>
            <w:r w:rsidR="00276023">
              <w:rPr>
                <w:noProof/>
                <w:webHidden/>
              </w:rPr>
              <w:fldChar w:fldCharType="begin"/>
            </w:r>
            <w:r w:rsidR="00276023">
              <w:rPr>
                <w:noProof/>
                <w:webHidden/>
              </w:rPr>
              <w:instrText xml:space="preserve"> PAGEREF _Toc491348198 \h </w:instrText>
            </w:r>
            <w:r w:rsidR="00276023">
              <w:rPr>
                <w:noProof/>
                <w:webHidden/>
              </w:rPr>
            </w:r>
            <w:r w:rsidR="00276023">
              <w:rPr>
                <w:noProof/>
                <w:webHidden/>
              </w:rPr>
              <w:fldChar w:fldCharType="separate"/>
            </w:r>
            <w:r w:rsidR="00276023">
              <w:rPr>
                <w:noProof/>
                <w:webHidden/>
              </w:rPr>
              <w:t>17</w:t>
            </w:r>
            <w:r w:rsidR="00276023">
              <w:rPr>
                <w:noProof/>
                <w:webHidden/>
              </w:rPr>
              <w:fldChar w:fldCharType="end"/>
            </w:r>
          </w:hyperlink>
        </w:p>
        <w:p w:rsidR="00276023" w:rsidRDefault="00B45657">
          <w:pPr>
            <w:pStyle w:val="TOC1"/>
            <w:tabs>
              <w:tab w:val="right" w:leader="dot" w:pos="9062"/>
            </w:tabs>
            <w:rPr>
              <w:rFonts w:eastAsiaTheme="minorEastAsia"/>
              <w:noProof/>
              <w:lang w:eastAsia="tr-TR"/>
            </w:rPr>
          </w:pPr>
          <w:hyperlink w:anchor="_Toc491348199" w:history="1">
            <w:r w:rsidR="00276023" w:rsidRPr="0015050C">
              <w:rPr>
                <w:rStyle w:val="Hyperlink"/>
                <w:noProof/>
              </w:rPr>
              <w:t>Faydalı Bilgiler</w:t>
            </w:r>
            <w:r w:rsidR="00276023">
              <w:rPr>
                <w:noProof/>
                <w:webHidden/>
              </w:rPr>
              <w:tab/>
            </w:r>
            <w:r w:rsidR="00276023">
              <w:rPr>
                <w:noProof/>
                <w:webHidden/>
              </w:rPr>
              <w:fldChar w:fldCharType="begin"/>
            </w:r>
            <w:r w:rsidR="00276023">
              <w:rPr>
                <w:noProof/>
                <w:webHidden/>
              </w:rPr>
              <w:instrText xml:space="preserve"> PAGEREF _Toc491348199 \h </w:instrText>
            </w:r>
            <w:r w:rsidR="00276023">
              <w:rPr>
                <w:noProof/>
                <w:webHidden/>
              </w:rPr>
            </w:r>
            <w:r w:rsidR="00276023">
              <w:rPr>
                <w:noProof/>
                <w:webHidden/>
              </w:rPr>
              <w:fldChar w:fldCharType="separate"/>
            </w:r>
            <w:r w:rsidR="00276023">
              <w:rPr>
                <w:noProof/>
                <w:webHidden/>
              </w:rPr>
              <w:t>19</w:t>
            </w:r>
            <w:r w:rsidR="00276023">
              <w:rPr>
                <w:noProof/>
                <w:webHidden/>
              </w:rPr>
              <w:fldChar w:fldCharType="end"/>
            </w:r>
          </w:hyperlink>
        </w:p>
        <w:p w:rsidR="00276023" w:rsidRDefault="00B45657">
          <w:pPr>
            <w:pStyle w:val="TOC1"/>
            <w:tabs>
              <w:tab w:val="right" w:leader="dot" w:pos="9062"/>
            </w:tabs>
            <w:rPr>
              <w:rFonts w:eastAsiaTheme="minorEastAsia"/>
              <w:noProof/>
              <w:lang w:eastAsia="tr-TR"/>
            </w:rPr>
          </w:pPr>
          <w:hyperlink w:anchor="_Toc491348200" w:history="1">
            <w:r w:rsidR="00276023" w:rsidRPr="0015050C">
              <w:rPr>
                <w:rStyle w:val="Hyperlink"/>
                <w:rFonts w:eastAsia="Times New Roman"/>
                <w:noProof/>
                <w:lang w:eastAsia="tr-TR"/>
              </w:rPr>
              <w:t>Yürütme Kurulu Üyeleri</w:t>
            </w:r>
            <w:r w:rsidR="00276023">
              <w:rPr>
                <w:noProof/>
                <w:webHidden/>
              </w:rPr>
              <w:tab/>
            </w:r>
            <w:r w:rsidR="00276023">
              <w:rPr>
                <w:noProof/>
                <w:webHidden/>
              </w:rPr>
              <w:fldChar w:fldCharType="begin"/>
            </w:r>
            <w:r w:rsidR="00276023">
              <w:rPr>
                <w:noProof/>
                <w:webHidden/>
              </w:rPr>
              <w:instrText xml:space="preserve"> PAGEREF _Toc491348200 \h </w:instrText>
            </w:r>
            <w:r w:rsidR="00276023">
              <w:rPr>
                <w:noProof/>
                <w:webHidden/>
              </w:rPr>
            </w:r>
            <w:r w:rsidR="00276023">
              <w:rPr>
                <w:noProof/>
                <w:webHidden/>
              </w:rPr>
              <w:fldChar w:fldCharType="separate"/>
            </w:r>
            <w:r w:rsidR="00276023">
              <w:rPr>
                <w:noProof/>
                <w:webHidden/>
              </w:rPr>
              <w:t>19</w:t>
            </w:r>
            <w:r w:rsidR="00276023">
              <w:rPr>
                <w:noProof/>
                <w:webHidden/>
              </w:rPr>
              <w:fldChar w:fldCharType="end"/>
            </w:r>
          </w:hyperlink>
        </w:p>
        <w:p w:rsidR="00276023" w:rsidRDefault="00B45657">
          <w:pPr>
            <w:pStyle w:val="TOC1"/>
            <w:tabs>
              <w:tab w:val="right" w:leader="dot" w:pos="9062"/>
            </w:tabs>
            <w:rPr>
              <w:rFonts w:eastAsiaTheme="minorEastAsia"/>
              <w:noProof/>
              <w:lang w:eastAsia="tr-TR"/>
            </w:rPr>
          </w:pPr>
          <w:hyperlink w:anchor="_Toc491348201" w:history="1">
            <w:r w:rsidR="00276023" w:rsidRPr="0015050C">
              <w:rPr>
                <w:rStyle w:val="Hyperlink"/>
                <w:noProof/>
              </w:rPr>
              <w:t>İletişim</w:t>
            </w:r>
            <w:r w:rsidR="00276023">
              <w:rPr>
                <w:noProof/>
                <w:webHidden/>
              </w:rPr>
              <w:tab/>
            </w:r>
            <w:r w:rsidR="00276023">
              <w:rPr>
                <w:noProof/>
                <w:webHidden/>
              </w:rPr>
              <w:fldChar w:fldCharType="begin"/>
            </w:r>
            <w:r w:rsidR="00276023">
              <w:rPr>
                <w:noProof/>
                <w:webHidden/>
              </w:rPr>
              <w:instrText xml:space="preserve"> PAGEREF _Toc491348201 \h </w:instrText>
            </w:r>
            <w:r w:rsidR="00276023">
              <w:rPr>
                <w:noProof/>
                <w:webHidden/>
              </w:rPr>
            </w:r>
            <w:r w:rsidR="00276023">
              <w:rPr>
                <w:noProof/>
                <w:webHidden/>
              </w:rPr>
              <w:fldChar w:fldCharType="separate"/>
            </w:r>
            <w:r w:rsidR="00276023">
              <w:rPr>
                <w:noProof/>
                <w:webHidden/>
              </w:rPr>
              <w:t>21</w:t>
            </w:r>
            <w:r w:rsidR="00276023">
              <w:rPr>
                <w:noProof/>
                <w:webHidden/>
              </w:rPr>
              <w:fldChar w:fldCharType="end"/>
            </w:r>
          </w:hyperlink>
        </w:p>
        <w:p w:rsidR="00976F30" w:rsidRDefault="00976F30" w:rsidP="00C2700F">
          <w:pPr>
            <w:spacing w:line="240" w:lineRule="auto"/>
          </w:pPr>
          <w:r>
            <w:rPr>
              <w:b/>
              <w:bCs/>
              <w:noProof/>
            </w:rPr>
            <w:fldChar w:fldCharType="end"/>
          </w:r>
        </w:p>
      </w:sdtContent>
    </w:sdt>
    <w:p w:rsidR="00976F30" w:rsidRDefault="00976F30" w:rsidP="00C2700F">
      <w:pPr>
        <w:spacing w:line="240" w:lineRule="auto"/>
        <w:jc w:val="both"/>
        <w:rPr>
          <w:rFonts w:ascii="Times New Roman" w:hAnsi="Times New Roman" w:cs="Times New Roman"/>
        </w:rPr>
      </w:pPr>
    </w:p>
    <w:p w:rsidR="00976F30" w:rsidRDefault="00976F30" w:rsidP="00C2700F">
      <w:pPr>
        <w:spacing w:line="240" w:lineRule="auto"/>
        <w:rPr>
          <w:rFonts w:ascii="Times New Roman" w:hAnsi="Times New Roman" w:cs="Times New Roman"/>
        </w:rPr>
      </w:pPr>
      <w:r>
        <w:rPr>
          <w:rFonts w:ascii="Times New Roman" w:hAnsi="Times New Roman" w:cs="Times New Roman"/>
        </w:rPr>
        <w:br w:type="page"/>
      </w:r>
    </w:p>
    <w:p w:rsidR="00FE7DC4" w:rsidRPr="00D66755" w:rsidRDefault="00FE7DC4" w:rsidP="00C2700F">
      <w:pPr>
        <w:spacing w:line="240" w:lineRule="auto"/>
        <w:jc w:val="both"/>
        <w:rPr>
          <w:rFonts w:ascii="Times New Roman" w:hAnsi="Times New Roman" w:cs="Times New Roman"/>
        </w:rPr>
      </w:pPr>
    </w:p>
    <w:p w:rsidR="00FE7DC4" w:rsidRPr="00D66755" w:rsidRDefault="00E16869" w:rsidP="00C2700F">
      <w:pPr>
        <w:pStyle w:val="Title"/>
      </w:pPr>
      <w:r>
        <w:t>KENYA</w:t>
      </w:r>
    </w:p>
    <w:p w:rsidR="00FE7DC4" w:rsidRPr="00D66755" w:rsidRDefault="00FE7DC4" w:rsidP="00C2700F">
      <w:pPr>
        <w:pStyle w:val="Heading1"/>
        <w:spacing w:line="240" w:lineRule="auto"/>
      </w:pPr>
      <w:bookmarkStart w:id="2" w:name="_Toc491348155"/>
      <w:r w:rsidRPr="00D66755">
        <w:t>Genel Bilgiler</w:t>
      </w:r>
      <w:bookmarkEnd w:id="2"/>
      <w:r w:rsidR="00013F29">
        <w:t xml:space="preserve"> </w:t>
      </w:r>
    </w:p>
    <w:p w:rsidR="00FE7DC4" w:rsidRPr="004E7C09" w:rsidRDefault="00F411EF" w:rsidP="004E7C09">
      <w:pPr>
        <w:pStyle w:val="NoSpacing"/>
        <w:rPr>
          <w:b/>
        </w:rPr>
      </w:pPr>
      <w:r w:rsidRPr="004E7C09">
        <w:rPr>
          <w:b/>
        </w:rPr>
        <w:t>Resmi Adı</w:t>
      </w:r>
      <w:r w:rsidRPr="004E7C09">
        <w:rPr>
          <w:b/>
        </w:rPr>
        <w:tab/>
      </w:r>
      <w:r w:rsidRPr="004E7C09">
        <w:rPr>
          <w:b/>
        </w:rPr>
        <w:tab/>
      </w:r>
      <w:r w:rsidR="00FE7DC4" w:rsidRPr="004E7C09">
        <w:rPr>
          <w:b/>
        </w:rPr>
        <w:t xml:space="preserve">: </w:t>
      </w:r>
      <w:r w:rsidR="00E16869" w:rsidRPr="00363AF3">
        <w:t>Kenya Cumhuriyeti</w:t>
      </w:r>
    </w:p>
    <w:p w:rsidR="00FE7DC4" w:rsidRPr="004E7C09" w:rsidRDefault="00F411EF" w:rsidP="004E7C09">
      <w:pPr>
        <w:pStyle w:val="NoSpacing"/>
        <w:rPr>
          <w:b/>
        </w:rPr>
      </w:pPr>
      <w:r w:rsidRPr="004E7C09">
        <w:rPr>
          <w:b/>
        </w:rPr>
        <w:t>Yönetim Şekli</w:t>
      </w:r>
      <w:r w:rsidRPr="004E7C09">
        <w:rPr>
          <w:b/>
        </w:rPr>
        <w:tab/>
      </w:r>
      <w:r w:rsidRPr="004E7C09">
        <w:rPr>
          <w:b/>
        </w:rPr>
        <w:tab/>
      </w:r>
      <w:r w:rsidR="00FE7DC4" w:rsidRPr="004E7C09">
        <w:rPr>
          <w:b/>
        </w:rPr>
        <w:t xml:space="preserve">: </w:t>
      </w:r>
      <w:r w:rsidR="00E16869" w:rsidRPr="00363AF3">
        <w:t>Cumhuriyet</w:t>
      </w:r>
    </w:p>
    <w:p w:rsidR="00FE7DC4" w:rsidRPr="004E7C09" w:rsidRDefault="00797434" w:rsidP="004E7C09">
      <w:pPr>
        <w:pStyle w:val="NoSpacing"/>
        <w:rPr>
          <w:b/>
        </w:rPr>
      </w:pPr>
      <w:r>
        <w:rPr>
          <w:b/>
        </w:rPr>
        <w:t>Cumhurbaşkanı</w:t>
      </w:r>
      <w:r w:rsidR="00F411EF" w:rsidRPr="004E7C09">
        <w:rPr>
          <w:b/>
        </w:rPr>
        <w:tab/>
      </w:r>
      <w:r w:rsidR="00FE7DC4" w:rsidRPr="004E7C09">
        <w:rPr>
          <w:b/>
        </w:rPr>
        <w:t xml:space="preserve">: </w:t>
      </w:r>
      <w:r w:rsidR="00E16869" w:rsidRPr="00363AF3">
        <w:t>Uhuru Kenyatta (2013’den beri)</w:t>
      </w:r>
    </w:p>
    <w:p w:rsidR="00FE7DC4" w:rsidRPr="004E7C09" w:rsidRDefault="00F411EF" w:rsidP="004E7C09">
      <w:pPr>
        <w:pStyle w:val="NoSpacing"/>
        <w:rPr>
          <w:b/>
        </w:rPr>
      </w:pPr>
      <w:r w:rsidRPr="004E7C09">
        <w:rPr>
          <w:b/>
        </w:rPr>
        <w:t>Yüz Ölçümü</w:t>
      </w:r>
      <w:r w:rsidRPr="004E7C09">
        <w:rPr>
          <w:b/>
        </w:rPr>
        <w:tab/>
      </w:r>
      <w:r w:rsidRPr="004E7C09">
        <w:rPr>
          <w:b/>
        </w:rPr>
        <w:tab/>
      </w:r>
      <w:r w:rsidR="00FE7DC4" w:rsidRPr="004E7C09">
        <w:rPr>
          <w:b/>
        </w:rPr>
        <w:t xml:space="preserve">: </w:t>
      </w:r>
      <w:r w:rsidR="00E16869" w:rsidRPr="00363AF3">
        <w:t>569,250 km</w:t>
      </w:r>
      <w:r w:rsidR="00E16869" w:rsidRPr="00363AF3">
        <w:rPr>
          <w:vertAlign w:val="superscript"/>
        </w:rPr>
        <w:t>2</w:t>
      </w:r>
    </w:p>
    <w:p w:rsidR="00797434" w:rsidRPr="00636BB4" w:rsidRDefault="00F411EF" w:rsidP="00797434">
      <w:pPr>
        <w:pStyle w:val="NoSpacing"/>
      </w:pPr>
      <w:r w:rsidRPr="004E7C09">
        <w:rPr>
          <w:b/>
        </w:rPr>
        <w:t>Toplam Nüfus</w:t>
      </w:r>
      <w:r w:rsidRPr="004E7C09">
        <w:rPr>
          <w:b/>
        </w:rPr>
        <w:tab/>
      </w:r>
      <w:r w:rsidRPr="004E7C09">
        <w:rPr>
          <w:b/>
        </w:rPr>
        <w:tab/>
      </w:r>
      <w:r w:rsidR="00FE7DC4" w:rsidRPr="004E7C09">
        <w:rPr>
          <w:b/>
        </w:rPr>
        <w:t xml:space="preserve">: </w:t>
      </w:r>
      <w:r w:rsidR="00E16869" w:rsidRPr="00363AF3">
        <w:t>45,846,000</w:t>
      </w:r>
    </w:p>
    <w:p w:rsidR="00FE7DC4" w:rsidRPr="004E7C09" w:rsidRDefault="00FE7DC4" w:rsidP="004E7C09">
      <w:pPr>
        <w:pStyle w:val="NoSpacing"/>
        <w:rPr>
          <w:b/>
        </w:rPr>
      </w:pPr>
      <w:r w:rsidRPr="004E7C09">
        <w:rPr>
          <w:b/>
        </w:rPr>
        <w:t>Nüfus Artış Hızı</w:t>
      </w:r>
      <w:r w:rsidRPr="004E7C09">
        <w:rPr>
          <w:b/>
        </w:rPr>
        <w:tab/>
      </w:r>
      <w:r w:rsidR="00F411EF" w:rsidRPr="004E7C09">
        <w:rPr>
          <w:b/>
        </w:rPr>
        <w:tab/>
      </w:r>
      <w:r w:rsidRPr="004E7C09">
        <w:rPr>
          <w:b/>
        </w:rPr>
        <w:t xml:space="preserve">: </w:t>
      </w:r>
      <w:r w:rsidR="00E16869" w:rsidRPr="00363AF3">
        <w:t>%2</w:t>
      </w:r>
      <w:proofErr w:type="gramStart"/>
      <w:r w:rsidR="00E16869" w:rsidRPr="00363AF3">
        <w:t>,7</w:t>
      </w:r>
      <w:proofErr w:type="gramEnd"/>
    </w:p>
    <w:p w:rsidR="00FE7DC4" w:rsidRPr="004E7C09" w:rsidRDefault="00F411EF" w:rsidP="004E7C09">
      <w:pPr>
        <w:pStyle w:val="NoSpacing"/>
        <w:rPr>
          <w:b/>
        </w:rPr>
      </w:pPr>
      <w:r w:rsidRPr="004E7C09">
        <w:rPr>
          <w:b/>
        </w:rPr>
        <w:t>Ortalama Yaşam Süresi</w:t>
      </w:r>
      <w:r w:rsidR="00FE7DC4" w:rsidRPr="004E7C09">
        <w:rPr>
          <w:b/>
        </w:rPr>
        <w:t xml:space="preserve">: </w:t>
      </w:r>
      <w:r w:rsidR="00E16869" w:rsidRPr="00363AF3">
        <w:t>61.1</w:t>
      </w:r>
    </w:p>
    <w:p w:rsidR="00E16869" w:rsidRDefault="00E16869" w:rsidP="00E16869">
      <w:pPr>
        <w:pStyle w:val="NoSpacing"/>
        <w:ind w:left="2124" w:hanging="2124"/>
        <w:jc w:val="both"/>
      </w:pPr>
      <w:r>
        <w:rPr>
          <w:b/>
        </w:rPr>
        <w:t>Etnik Dağılım</w:t>
      </w:r>
      <w:r>
        <w:rPr>
          <w:b/>
        </w:rPr>
        <w:tab/>
      </w:r>
      <w:r w:rsidR="00FE7DC4" w:rsidRPr="004E7C09">
        <w:rPr>
          <w:b/>
        </w:rPr>
        <w:t xml:space="preserve"> </w:t>
      </w:r>
      <w:r>
        <w:t xml:space="preserve">: </w:t>
      </w:r>
      <w:r w:rsidRPr="00363AF3">
        <w:t xml:space="preserve">%22 Kikuyu, %Luhya, %13 Luo, %12 Kalenjin, %11 Kamba, %6 Kisii, </w:t>
      </w:r>
    </w:p>
    <w:p w:rsidR="00E16869" w:rsidRDefault="00E16869" w:rsidP="00E16869">
      <w:pPr>
        <w:pStyle w:val="NoSpacing"/>
        <w:ind w:left="2124"/>
        <w:jc w:val="both"/>
      </w:pPr>
      <w:r w:rsidRPr="00363AF3">
        <w:t>%6 Meru, %16 Diğer</w:t>
      </w:r>
    </w:p>
    <w:p w:rsidR="00FE7DC4" w:rsidRPr="00E16869" w:rsidRDefault="00F411EF" w:rsidP="00E16869">
      <w:pPr>
        <w:pStyle w:val="NoSpacing"/>
        <w:jc w:val="both"/>
      </w:pPr>
      <w:r w:rsidRPr="004E7C09">
        <w:rPr>
          <w:b/>
        </w:rPr>
        <w:t>Dini Dağılım</w:t>
      </w:r>
      <w:r w:rsidR="004E7C09">
        <w:rPr>
          <w:b/>
        </w:rPr>
        <w:tab/>
      </w:r>
      <w:r w:rsidRPr="004E7C09">
        <w:rPr>
          <w:b/>
        </w:rPr>
        <w:tab/>
      </w:r>
      <w:r w:rsidR="00FE7DC4" w:rsidRPr="004E7C09">
        <w:rPr>
          <w:b/>
        </w:rPr>
        <w:t xml:space="preserve">: </w:t>
      </w:r>
      <w:r w:rsidR="00E16869" w:rsidRPr="00363AF3">
        <w:t>%45 Protestan, %33 Roman Katolik, %10 Müslüman, %10 Yerel dinler</w:t>
      </w:r>
    </w:p>
    <w:p w:rsidR="00FE7DC4" w:rsidRPr="00E16869" w:rsidRDefault="00F411EF" w:rsidP="00E16869">
      <w:pPr>
        <w:pStyle w:val="NoSpacing"/>
        <w:jc w:val="both"/>
      </w:pPr>
      <w:r w:rsidRPr="004E7C09">
        <w:rPr>
          <w:b/>
        </w:rPr>
        <w:t>Okuma Yazma Oranı</w:t>
      </w:r>
      <w:r w:rsidRPr="004E7C09">
        <w:rPr>
          <w:b/>
        </w:rPr>
        <w:tab/>
      </w:r>
      <w:r w:rsidR="00FE7DC4" w:rsidRPr="004E7C09">
        <w:rPr>
          <w:b/>
        </w:rPr>
        <w:t xml:space="preserve">: </w:t>
      </w:r>
      <w:r w:rsidR="00E16869" w:rsidRPr="00363AF3">
        <w:t>%72.2</w:t>
      </w:r>
    </w:p>
    <w:p w:rsidR="00797434" w:rsidRPr="00636BB4" w:rsidRDefault="00F411EF" w:rsidP="00E16869">
      <w:pPr>
        <w:pStyle w:val="NoSpacing"/>
        <w:jc w:val="both"/>
      </w:pPr>
      <w:r w:rsidRPr="004E7C09">
        <w:rPr>
          <w:b/>
        </w:rPr>
        <w:t>Konuşulan Diller</w:t>
      </w:r>
      <w:r w:rsidRPr="004E7C09">
        <w:rPr>
          <w:b/>
        </w:rPr>
        <w:tab/>
      </w:r>
      <w:r w:rsidR="00FE7DC4" w:rsidRPr="004E7C09">
        <w:rPr>
          <w:b/>
        </w:rPr>
        <w:t>:</w:t>
      </w:r>
      <w:r w:rsidR="00797434" w:rsidRPr="00797434">
        <w:t xml:space="preserve"> </w:t>
      </w:r>
      <w:r w:rsidR="00E16869" w:rsidRPr="00363AF3">
        <w:t>Svahili ve İngilizce</w:t>
      </w:r>
    </w:p>
    <w:p w:rsidR="00FE7DC4" w:rsidRPr="004E7C09" w:rsidRDefault="00DC1487" w:rsidP="00E16869">
      <w:pPr>
        <w:pStyle w:val="NoSpacing"/>
        <w:jc w:val="both"/>
        <w:rPr>
          <w:b/>
        </w:rPr>
      </w:pPr>
      <w:r w:rsidRPr="004E7C09">
        <w:rPr>
          <w:b/>
        </w:rPr>
        <w:t>Başkent</w:t>
      </w:r>
      <w:r w:rsidRPr="004E7C09">
        <w:rPr>
          <w:b/>
        </w:rPr>
        <w:tab/>
      </w:r>
      <w:r w:rsidR="004E7C09">
        <w:rPr>
          <w:b/>
        </w:rPr>
        <w:tab/>
      </w:r>
      <w:r w:rsidR="00FE7DC4" w:rsidRPr="004E7C09">
        <w:rPr>
          <w:b/>
        </w:rPr>
        <w:t xml:space="preserve">: </w:t>
      </w:r>
      <w:r w:rsidR="00E16869" w:rsidRPr="00363AF3">
        <w:t>Nairobi</w:t>
      </w:r>
    </w:p>
    <w:p w:rsidR="00FE7DC4" w:rsidRPr="004E7C09" w:rsidRDefault="00F411EF" w:rsidP="00E16869">
      <w:pPr>
        <w:pStyle w:val="NoSpacing"/>
        <w:jc w:val="both"/>
        <w:rPr>
          <w:b/>
        </w:rPr>
      </w:pPr>
      <w:r w:rsidRPr="004E7C09">
        <w:rPr>
          <w:b/>
        </w:rPr>
        <w:t>Başlıca Büyük Şehirler</w:t>
      </w:r>
      <w:r w:rsidRPr="004E7C09">
        <w:rPr>
          <w:b/>
        </w:rPr>
        <w:tab/>
      </w:r>
      <w:r w:rsidR="00FE7DC4" w:rsidRPr="004E7C09">
        <w:rPr>
          <w:b/>
        </w:rPr>
        <w:t>:</w:t>
      </w:r>
      <w:r w:rsidR="00E16869" w:rsidRPr="00E16869">
        <w:t xml:space="preserve"> </w:t>
      </w:r>
      <w:r w:rsidR="00E16869" w:rsidRPr="00363AF3">
        <w:t>Mombasa, Nakuru, Eldoret, Kisumu, Thika</w:t>
      </w:r>
    </w:p>
    <w:p w:rsidR="00390E33" w:rsidRPr="004E7C09" w:rsidRDefault="00F411EF" w:rsidP="00E16869">
      <w:pPr>
        <w:pStyle w:val="NoSpacing"/>
        <w:jc w:val="both"/>
        <w:rPr>
          <w:b/>
        </w:rPr>
      </w:pPr>
      <w:r w:rsidRPr="004E7C09">
        <w:rPr>
          <w:b/>
        </w:rPr>
        <w:t>Para Birimi</w:t>
      </w:r>
      <w:r w:rsidRPr="004E7C09">
        <w:rPr>
          <w:b/>
        </w:rPr>
        <w:tab/>
      </w:r>
      <w:r w:rsidRPr="004E7C09">
        <w:rPr>
          <w:b/>
        </w:rPr>
        <w:tab/>
      </w:r>
      <w:r w:rsidR="00FE7DC4" w:rsidRPr="004E7C09">
        <w:rPr>
          <w:b/>
        </w:rPr>
        <w:t xml:space="preserve">: </w:t>
      </w:r>
      <w:r w:rsidR="00E16869" w:rsidRPr="00363AF3">
        <w:t>Kenya şilini</w:t>
      </w:r>
    </w:p>
    <w:p w:rsidR="00337580" w:rsidRDefault="00F411EF" w:rsidP="00E16869">
      <w:pPr>
        <w:pStyle w:val="NoSpacing"/>
        <w:jc w:val="both"/>
      </w:pPr>
      <w:r w:rsidRPr="004E7C09">
        <w:rPr>
          <w:b/>
        </w:rPr>
        <w:t>Saat Farkı</w:t>
      </w:r>
      <w:r w:rsidRPr="004E7C09">
        <w:rPr>
          <w:b/>
        </w:rPr>
        <w:tab/>
      </w:r>
      <w:r w:rsidRPr="004E7C09">
        <w:rPr>
          <w:b/>
        </w:rPr>
        <w:tab/>
      </w:r>
      <w:r w:rsidR="00FE7DC4" w:rsidRPr="004E7C09">
        <w:rPr>
          <w:b/>
        </w:rPr>
        <w:t xml:space="preserve">: </w:t>
      </w:r>
      <w:r w:rsidR="00E16869" w:rsidRPr="00363AF3">
        <w:t>Yok</w:t>
      </w:r>
    </w:p>
    <w:p w:rsidR="004E7C09" w:rsidRPr="00E16869" w:rsidRDefault="00FE7DC4" w:rsidP="00E16869">
      <w:pPr>
        <w:pStyle w:val="NoSpacing"/>
        <w:jc w:val="both"/>
      </w:pPr>
      <w:r w:rsidRPr="004E7C09">
        <w:rPr>
          <w:b/>
        </w:rPr>
        <w:t>Resmi Tatiller</w:t>
      </w:r>
      <w:r w:rsidR="004E7C09" w:rsidRPr="004E7C09">
        <w:rPr>
          <w:b/>
        </w:rPr>
        <w:tab/>
      </w:r>
      <w:r w:rsidR="004E7C09" w:rsidRPr="004E7C09">
        <w:rPr>
          <w:b/>
        </w:rPr>
        <w:tab/>
      </w:r>
      <w:r w:rsidRPr="004E7C09">
        <w:rPr>
          <w:b/>
        </w:rPr>
        <w:t xml:space="preserve">: </w:t>
      </w:r>
      <w:r w:rsidR="00E16869" w:rsidRPr="00363AF3">
        <w:t>1 Ocak (Yeni Yıl), Nisan’da Uğurlu Cuma ve Paskalya tatilleri (günü değişir), 1 Mayıs (İşçi Günü), 1 Haziran (Midaraka Günü), 10 Ekim (Moi Günü), 20 Ekim (Kenyatta Günü), 12 Aralık (Bağımsızlık Günü), 25 Aralık (Noel Yortu Günü), 26 Aralık (Noel Ertesi)</w:t>
      </w:r>
    </w:p>
    <w:p w:rsidR="00A17E9E" w:rsidRDefault="004E7C09" w:rsidP="00E16869">
      <w:pPr>
        <w:pStyle w:val="NoSpacing"/>
        <w:jc w:val="both"/>
        <w:rPr>
          <w:b/>
        </w:rPr>
      </w:pPr>
      <w:r w:rsidRPr="004E7C09">
        <w:rPr>
          <w:b/>
        </w:rPr>
        <w:t>Üyesi Olduğu Uluslararası Kuruluşlar:</w:t>
      </w:r>
      <w:r w:rsidR="00797434">
        <w:rPr>
          <w:b/>
        </w:rPr>
        <w:t xml:space="preserve"> </w:t>
      </w:r>
      <w:r w:rsidR="00E16869" w:rsidRPr="00363AF3">
        <w:t>Afrika Birliği (AU), Doğu Afrika Topluluğu (EAC), Doğu ve Güney Afrika Ortak Pazarı (COMESA), Kalkınmada Hükümetler arası Otorite (IGAD), Cotonou Konvansiyonu</w:t>
      </w:r>
    </w:p>
    <w:p w:rsidR="00A17E9E" w:rsidRDefault="00A17E9E" w:rsidP="00A17E9E">
      <w:pPr>
        <w:pStyle w:val="Heading2"/>
      </w:pPr>
      <w:bookmarkStart w:id="3" w:name="_Toc491348156"/>
      <w:r w:rsidRPr="00D66755">
        <w:t>Siyasi Yapı</w:t>
      </w:r>
      <w:bookmarkEnd w:id="3"/>
    </w:p>
    <w:p w:rsidR="00E16869" w:rsidRPr="00363AF3" w:rsidRDefault="00E16869" w:rsidP="00E16869">
      <w:r w:rsidRPr="00363AF3">
        <w:t>Bağımsızlığını 12 Aralık 1963 yılında İngilizlerden alan Kenya, cumhuriyet ile yönetilmektedir. Parlamentoda seçimle gelen 188 milletvekilinin yanı sıra 12 adet Cumhurbaşkanı tarafından atanan kontenjan milletvekilliği bulunmaktadır.</w:t>
      </w:r>
    </w:p>
    <w:p w:rsidR="00E16869" w:rsidRPr="00363AF3" w:rsidRDefault="00E16869" w:rsidP="00E16869">
      <w:r w:rsidRPr="00363AF3">
        <w:t>27 Aralık 2002 seçimlerinde 24 yıldır ülkeyi yöneten Daniel Arap MOI dönemi Mwai KIBAKI’nın seçilmesi ile son bulmuştur. Aralık 2007’de yapılan seçimler sonrası ise Kenya Mwai KIBAKI yeniden Devlet Başkanı olarak seçilmiş olmakla birlikte başlıca rakibi Raila Odinga ile koalisyon hükümeti kurmuş ve Odinga da Başbakan olarak yönetimde yer almıştır.</w:t>
      </w:r>
    </w:p>
    <w:p w:rsidR="00E16869" w:rsidRPr="00363AF3" w:rsidRDefault="00E16869" w:rsidP="00E16869">
      <w:r w:rsidRPr="00363AF3">
        <w:t xml:space="preserve">Ülkede son seçimler Mart 2013’de gerçekleşmiş, Kenya bağımsızlığını aldıktan sonraki ilk devlet başkanı olan Jomo Kenyatta’nın oğlu Uhuru Kenyatta Cumhurbaşkanı seçilmiştir. 2016’nın Mayıs ve Haziran aylarında Muhalif Reform ve Demokrasi Koalisyonu’nun (CORD) seçim reformu talebiyle düzenlediği protesto eylemlerinde can kaybı yaşanmıştır. Bir sonraki genel seçimler Ağustos 2017’de yapılacaktır. </w:t>
      </w:r>
    </w:p>
    <w:p w:rsidR="00797434" w:rsidRPr="00797434" w:rsidRDefault="00E16869" w:rsidP="00797434">
      <w:r w:rsidRPr="00363AF3">
        <w:t>Kenya büyük kaosların yaşandığı Güney Sudan, Etiyopya ve Somali gibi üç ülke ile sınır komşusudur. Bu süregiden çatışmalı ortamların Kenya üzerinde olumsuz etkileri mevcuttur. Somali’deki kaos ve açlık kuzeydoğu sınırından 100 binlerce mültecinin Kenya’ya girişine sebep olmuştur. Kenya 2011’den beri al-Shabab örgütüne karşı askeri müdahalede bulunmak için güney Somali’de bir şeridi işgal etmiş durumdadır.</w:t>
      </w:r>
    </w:p>
    <w:p w:rsidR="00A17E9E" w:rsidRDefault="00A17E9E" w:rsidP="00A17E9E">
      <w:pPr>
        <w:pStyle w:val="Heading2"/>
        <w:spacing w:line="240" w:lineRule="auto"/>
      </w:pPr>
      <w:bookmarkStart w:id="4" w:name="_Toc491348157"/>
      <w:r w:rsidRPr="00D66755">
        <w:lastRenderedPageBreak/>
        <w:t>Genel Ekonomik Görünüm</w:t>
      </w:r>
      <w:bookmarkEnd w:id="4"/>
    </w:p>
    <w:p w:rsidR="00E16869" w:rsidRPr="00363AF3" w:rsidRDefault="00E16869" w:rsidP="00E16869">
      <w:pPr>
        <w:jc w:val="both"/>
      </w:pPr>
      <w:r w:rsidRPr="00363AF3">
        <w:t>Bir zamanlar Afrika’nın en zengin ülkelerinden olan Kenya’nın ekonomisi son zamanlarda artan yolsuzluk olayları yüzünden gerilemiştir. Birçok yabancı yatırımcı yatırımlarını bu sebepten geri çekmiştir. Bir zamanlar hiç tahmin edilemeyeck bir durum olsa da, Kenya’nın Doğu Afrika’daki pekçok komşusunun gerisine düştüğü söylenebilir. Kenya bölge içi rekabet ile karşı karşıyadır, bu rekabet son yıllarda önemli ölçüde ekonomik büyüme gösteren Uganda ile piyasa ekonomisi yolunda ekonomik reformlara imza atan Tanzanya’dan kaynaklanmaktadır. Doğu Afrika Topluluğu (EAC) üyesi bu üç ülke 1 Ocak 2005 tarihli gümrük birliği sonucunda birbirlerine her geçen gün daha da bağımlı hale gelmektedir.</w:t>
      </w:r>
    </w:p>
    <w:p w:rsidR="00E16869" w:rsidRPr="00363AF3" w:rsidRDefault="00E16869" w:rsidP="00E16869">
      <w:pPr>
        <w:jc w:val="both"/>
      </w:pPr>
      <w:r w:rsidRPr="00363AF3">
        <w:t xml:space="preserve">Kenya’da 2015 yılında Gayri Safi Milli Hasıla %5,6 büyüme kaydederek 2015 yılında 58,1 milyar dolar seviyesinde gerçekleşmiştir. Bu büyüme tarım, inşaat, gayrimenkul, finans ve sigorta hizmetlerindeki kayda değer gelişmelerin katkısı ile gerçekleşmiştir. Buna karşın madencilik, bilgi teknolojileri, toptan ve perakende sektöründe aynı dönemde yavaşlama olmuştur. Enerji fiyatlarında azalma sebebiyle 2015 yılında enflasyon; 2014 yılındaki %6,9’luk değerinden %6,6’a gerilemiştir. Cari açık (%GSYİH) 2014 yılındaki değeri %14,5’tan 2015 yılında %11,4’e düşmüştür. Gerilemede, artan ihracat ile azalan ithalat değerlerinin etkisi olmuştur. Kenya Şilini dolar ve pound karşısında değer kaybederken, Avro, G.Afrika Rand’ı ve Japon yeni karşısında değer kazanmıştır. Merkez Bankası’nın faiz oranlarının dengeye gelmesi için yaptığı müdahelelere karşın ağırlıklandırılmış faiz oranları  ticari banka kredilerinde %1,4 artarak %17,45’e yükselmiştir. Nairobi Borsa’sında hisse senedi hacmi 5.346 puandan Aralık 2015’te 4.040’a düşmüştür. </w:t>
      </w:r>
    </w:p>
    <w:p w:rsidR="00E16869" w:rsidRPr="00363AF3" w:rsidRDefault="00E16869" w:rsidP="00E16869">
      <w:pPr>
        <w:jc w:val="both"/>
        <w:rPr>
          <w:lang w:val="en-US"/>
        </w:rPr>
      </w:pPr>
      <w:r w:rsidRPr="00363AF3">
        <w:rPr>
          <w:lang w:val="en-US"/>
        </w:rPr>
        <w:t>GSYİH'nin 2017 yılında yılında bir önceki yıla göre % 5,9 oranında artış göstererek 75,1 Milyar Dolar seviyesine yükselmesi beklenmekle beraber,   en önemli ticaret ortağı olan AB ülkelerinde yaşanan ekonomik sıkıntılar ülke ekonomisi için risk faktörü olarak görülmektedir.</w:t>
      </w:r>
    </w:p>
    <w:p w:rsidR="00E16869" w:rsidRPr="00363AF3" w:rsidRDefault="00E16869" w:rsidP="00E16869">
      <w:pPr>
        <w:jc w:val="both"/>
        <w:rPr>
          <w:lang w:val="en-US"/>
        </w:rPr>
      </w:pPr>
      <w:r w:rsidRPr="00363AF3">
        <w:rPr>
          <w:lang w:val="en-US"/>
        </w:rPr>
        <w:t>Enflasyonun, 2016 yılında  yılında yaşanan %5,6 oranından 2017 yıl sonunda % 6 düzeyine yükselmesi beklenmektedir. Zaman zaman istikrarsızlaşan küresel emtia fiyatlarına rağmen</w:t>
      </w:r>
      <w:proofErr w:type="gramStart"/>
      <w:r w:rsidRPr="00363AF3">
        <w:rPr>
          <w:lang w:val="en-US"/>
        </w:rPr>
        <w:t>,  ülkedeki</w:t>
      </w:r>
      <w:proofErr w:type="gramEnd"/>
      <w:r w:rsidRPr="00363AF3">
        <w:rPr>
          <w:lang w:val="en-US"/>
        </w:rPr>
        <w:t xml:space="preserve"> altyapı yatırımlarının sağladığı verimlilik artışı ve hükümetin düzenleyici reformlarının da etkisiyle önümüzdeki yıllarda da enflasyon oranının makul seviyelerde gerçekleşeceği öngörülmektedir. </w:t>
      </w:r>
    </w:p>
    <w:p w:rsidR="00E16869" w:rsidRPr="00363AF3" w:rsidRDefault="00E16869" w:rsidP="00E16869">
      <w:pPr>
        <w:jc w:val="both"/>
        <w:rPr>
          <w:lang w:val="en-US"/>
        </w:rPr>
      </w:pPr>
      <w:proofErr w:type="gramStart"/>
      <w:r w:rsidRPr="00363AF3">
        <w:rPr>
          <w:lang w:val="en-US"/>
        </w:rPr>
        <w:t>Çay ve kesme çiçek ihracatından elde edilen gelirin düzenli olarak artacağı ve turizm gelirlerinin geçmiş yılların üzerinde bir artış göstereceği düşünülmektedir.</w:t>
      </w:r>
      <w:proofErr w:type="gramEnd"/>
      <w:r w:rsidRPr="00363AF3">
        <w:rPr>
          <w:lang w:val="en-US"/>
        </w:rPr>
        <w:t xml:space="preserve"> Bununla beraber, </w:t>
      </w:r>
      <w:proofErr w:type="gramStart"/>
      <w:r w:rsidRPr="00363AF3">
        <w:rPr>
          <w:lang w:val="en-US"/>
        </w:rPr>
        <w:t>Kenya’nın</w:t>
      </w:r>
      <w:proofErr w:type="gramEnd"/>
      <w:r w:rsidRPr="00363AF3">
        <w:rPr>
          <w:lang w:val="en-US"/>
        </w:rPr>
        <w:t xml:space="preserve"> dış borca ve yabancı yatırıma bağımlılığı önümüzdeki yıllarda da devam edecektir. Bu kapsamda, c</w:t>
      </w:r>
      <w:r w:rsidRPr="00363AF3">
        <w:rPr>
          <w:bCs/>
          <w:lang w:val="en-US"/>
        </w:rPr>
        <w:t xml:space="preserve">ari açığın 2014-2020 yılları arasında yumuşak bir patika </w:t>
      </w:r>
      <w:proofErr w:type="gramStart"/>
      <w:r w:rsidRPr="00363AF3">
        <w:rPr>
          <w:bCs/>
          <w:lang w:val="en-US"/>
        </w:rPr>
        <w:t>izleyeceği  tahmin</w:t>
      </w:r>
      <w:proofErr w:type="gramEnd"/>
      <w:r w:rsidRPr="00363AF3">
        <w:rPr>
          <w:bCs/>
          <w:lang w:val="en-US"/>
        </w:rPr>
        <w:t xml:space="preserve"> edilmekle birlikte, mevcut açık sebebiyle ülkenin gerek dış yardımlar, gerekse yabancı yatırımlar yoluyla dış kaynaklara olan bağımlılığının süreceği görülmektedir.</w:t>
      </w:r>
    </w:p>
    <w:p w:rsidR="00E16869" w:rsidRDefault="00E16869" w:rsidP="00E16869">
      <w:pPr>
        <w:jc w:val="both"/>
      </w:pPr>
      <w:r w:rsidRPr="00363AF3">
        <w:t>Dışa açık ve dünya standartlarında küçük olan Kenya ekonomisinde turizm gelirleri ile tarım ürünleri ihracatı önemli bir yer tuttuğundan, ülke ekonomisi dış şoklara ve hava koşullarına açık bir yapı sergilemektedir. Kenya’daki tüketici pazarının ve orta sınıfın büyümesi, Asya’dan artan talep ve bölgesel entegrasyonun ülke ekonomisini olumlu yönde etkilemesi beklenmekte olup, yabancı kaynakların ülke ekonomisine girişinde uluslararası gelişmeler ve yerel politika önemini koruyacaktır.</w:t>
      </w:r>
    </w:p>
    <w:p w:rsidR="00896295" w:rsidRPr="00363AF3" w:rsidRDefault="00896295" w:rsidP="00E16869">
      <w:pPr>
        <w:jc w:val="both"/>
      </w:pPr>
      <w:r>
        <w:t>Kenya, World Bank tarafından hazırlanan Doing Business 2017 raporunda iş yapma kolaylığı listesinde 92. sırada yer almıştır.</w:t>
      </w:r>
    </w:p>
    <w:p w:rsidR="00E16869" w:rsidRPr="00363AF3" w:rsidRDefault="00E16869" w:rsidP="00E16869">
      <w:pPr>
        <w:pStyle w:val="Heading3"/>
      </w:pPr>
      <w:bookmarkStart w:id="5" w:name="_Toc491348158"/>
      <w:r w:rsidRPr="00363AF3">
        <w:lastRenderedPageBreak/>
        <w:t>Yıllık GSYİH Büyüme Oranları (%)</w:t>
      </w:r>
      <w:bookmarkEnd w:id="5"/>
    </w:p>
    <w:p w:rsidR="00E16869" w:rsidRPr="00363AF3" w:rsidRDefault="00E16869" w:rsidP="00E16869">
      <w:pPr>
        <w:jc w:val="both"/>
      </w:pPr>
      <w:r w:rsidRPr="00363AF3">
        <w:rPr>
          <w:noProof/>
          <w:lang w:val="en-US"/>
        </w:rPr>
        <w:drawing>
          <wp:inline distT="0" distB="0" distL="0" distR="0" wp14:anchorId="3E9A9532" wp14:editId="4B5A7E66">
            <wp:extent cx="3541312" cy="2355011"/>
            <wp:effectExtent l="0" t="0" r="2540" b="7620"/>
            <wp:docPr id="1" name="Picture 1" descr="C:\Users\afrikastaj\Desktop\Kenya\Yıllık GSYİH Büyüme Oranları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frikastaj\Desktop\Kenya\Yıllık GSYİH Büyüme Oranları (%).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2064" cy="2355511"/>
                    </a:xfrm>
                    <a:prstGeom prst="rect">
                      <a:avLst/>
                    </a:prstGeom>
                    <a:noFill/>
                    <a:ln>
                      <a:noFill/>
                    </a:ln>
                  </pic:spPr>
                </pic:pic>
              </a:graphicData>
            </a:graphic>
          </wp:inline>
        </w:drawing>
      </w:r>
    </w:p>
    <w:p w:rsidR="00E16869" w:rsidRPr="00363AF3" w:rsidRDefault="00E16869" w:rsidP="00E16869">
      <w:pPr>
        <w:pStyle w:val="Quote"/>
      </w:pPr>
      <w:r w:rsidRPr="00363AF3">
        <w:t>Kaynak: ISA Economic Forecasts, national statistics</w:t>
      </w:r>
    </w:p>
    <w:p w:rsidR="00E16869" w:rsidRPr="00363AF3" w:rsidRDefault="00E16869" w:rsidP="00E16869">
      <w:pPr>
        <w:jc w:val="both"/>
      </w:pPr>
      <w:r w:rsidRPr="00363AF3">
        <w:t>Kenya ekonomisi Sahra-altı Afrika’nın çeşitlilik açısından en zengin ülkelerindendir. Kenya’da ekonomik yapının başlıca bileşenleri tarım, imalat, hizmetler ve gayri menkul sektörleridir. Tarım ekonominin %27’sini oluştururken, imalat sektörü %10’unu oluşturmaktadır. Tarım sektörü ihracatın %65’ini oluştururken istihdamın %18’ini içermektedir. Kenya’nın ana ihraç malları kahve ve çaydır.</w:t>
      </w:r>
    </w:p>
    <w:p w:rsidR="00E16869" w:rsidRPr="00363AF3" w:rsidRDefault="00E16869" w:rsidP="00E16869">
      <w:pPr>
        <w:pStyle w:val="Heading3"/>
      </w:pPr>
      <w:bookmarkStart w:id="6" w:name="_Toc491348159"/>
      <w:r w:rsidRPr="00363AF3">
        <w:t>Kenya'da çay ve kahve üretimi</w:t>
      </w:r>
      <w:bookmarkEnd w:id="6"/>
    </w:p>
    <w:p w:rsidR="00E16869" w:rsidRPr="00363AF3" w:rsidRDefault="00E16869" w:rsidP="00E16869">
      <w:pPr>
        <w:jc w:val="both"/>
      </w:pPr>
      <w:r w:rsidRPr="00363AF3">
        <w:rPr>
          <w:noProof/>
          <w:lang w:val="en-US"/>
        </w:rPr>
        <w:drawing>
          <wp:inline distT="0" distB="0" distL="0" distR="0" wp14:anchorId="69AFE3B9" wp14:editId="1BC013CA">
            <wp:extent cx="3312544" cy="2011378"/>
            <wp:effectExtent l="0" t="0" r="2540" b="8255"/>
            <wp:docPr id="3" name="Picture 3" descr="C:\Users\afrikastaj\Desktop\Kenya\Kenya'da çay ve kahve üretim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rikastaj\Desktop\Kenya\Kenya'da çay ve kahve üretim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24522" cy="2018651"/>
                    </a:xfrm>
                    <a:prstGeom prst="rect">
                      <a:avLst/>
                    </a:prstGeom>
                    <a:noFill/>
                    <a:ln>
                      <a:noFill/>
                    </a:ln>
                  </pic:spPr>
                </pic:pic>
              </a:graphicData>
            </a:graphic>
          </wp:inline>
        </w:drawing>
      </w:r>
    </w:p>
    <w:p w:rsidR="00E16869" w:rsidRPr="00363AF3" w:rsidRDefault="00E16869" w:rsidP="00E16869">
      <w:pPr>
        <w:jc w:val="both"/>
      </w:pPr>
      <w:r w:rsidRPr="00363AF3">
        <w:t>Kenya Doğu Afrika’nın ulaşım, finans ve iletişim merkezidir. 2015 yılında GSYİH’nın %60’ını teşkil eden hizmetler sektörünün 2016-2018 döneminde yıllık bazda ortalama %6 hızla büyümesi öngörülmektedir. Telekomünikasyon, bankacılık, perakende sektörü ve turizmin büyümede etkili olması beklenmektedir. Kenya Doğu Afrika’nın dağıtım merkezi olması sebebiyle özellikle taşımacılık en fazla hizmet ihracatı geliri yaratan sektör konumundadır. Taşımacılık sektörü 2015 yılında %6,4 büyüme gerçekleştirerek GSYİH katkısı 951 milyar KES olmuştur.</w:t>
      </w:r>
    </w:p>
    <w:p w:rsidR="00E16869" w:rsidRPr="00363AF3" w:rsidRDefault="00E16869" w:rsidP="00E16869">
      <w:pPr>
        <w:jc w:val="both"/>
      </w:pPr>
      <w:r w:rsidRPr="00363AF3">
        <w:t xml:space="preserve">2010’daki kısa bir düşüşten sonra enflasyon oranları 2011 ve 2012 yıllarında tekrar yükselme göstermiş ve gıda ürünleri rekor fiyatlara ulaşmıştır. Son yıllarda enflasyon oranlarında bir düşüş gözlemlenmekte. Gelecekte bu oranların düşmeye devam etmesi beklenmektedir. </w:t>
      </w:r>
    </w:p>
    <w:p w:rsidR="00E16869" w:rsidRPr="00363AF3" w:rsidRDefault="00E16869" w:rsidP="00E16869">
      <w:pPr>
        <w:pStyle w:val="Heading3"/>
      </w:pPr>
      <w:bookmarkStart w:id="7" w:name="_Toc491348160"/>
      <w:r w:rsidRPr="00363AF3">
        <w:lastRenderedPageBreak/>
        <w:t>Enflasyon oranları (%)</w:t>
      </w:r>
      <w:bookmarkEnd w:id="7"/>
    </w:p>
    <w:p w:rsidR="00E16869" w:rsidRPr="00363AF3" w:rsidRDefault="00E16869" w:rsidP="00E16869">
      <w:pPr>
        <w:jc w:val="both"/>
      </w:pPr>
      <w:r w:rsidRPr="00363AF3">
        <w:rPr>
          <w:noProof/>
          <w:lang w:val="en-US"/>
        </w:rPr>
        <w:drawing>
          <wp:inline distT="0" distB="0" distL="0" distR="0" wp14:anchorId="32C3EF38" wp14:editId="21BD1216">
            <wp:extent cx="3399199" cy="2018581"/>
            <wp:effectExtent l="0" t="0" r="0" b="1270"/>
            <wp:docPr id="4" name="Picture 4" descr="C:\Users\afrikastaj\Desktop\Kenya\Enflasyon oranları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frikastaj\Desktop\Kenya\Enflasyon oranları (%).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98181" cy="2017977"/>
                    </a:xfrm>
                    <a:prstGeom prst="rect">
                      <a:avLst/>
                    </a:prstGeom>
                    <a:noFill/>
                    <a:ln>
                      <a:noFill/>
                    </a:ln>
                  </pic:spPr>
                </pic:pic>
              </a:graphicData>
            </a:graphic>
          </wp:inline>
        </w:drawing>
      </w:r>
    </w:p>
    <w:p w:rsidR="00E16869" w:rsidRPr="00363AF3" w:rsidRDefault="00E16869" w:rsidP="00E16869">
      <w:pPr>
        <w:pStyle w:val="Quote"/>
      </w:pPr>
      <w:r w:rsidRPr="00363AF3">
        <w:t>Kaynak: ISA Economic Forecasts, national statistics</w:t>
      </w:r>
    </w:p>
    <w:p w:rsidR="00A17E9E" w:rsidRDefault="00A17E9E" w:rsidP="00A17E9E">
      <w:pPr>
        <w:pStyle w:val="Heading1"/>
      </w:pPr>
      <w:bookmarkStart w:id="8" w:name="_Toc491348161"/>
      <w:r>
        <w:t>Sektörler</w:t>
      </w:r>
      <w:bookmarkEnd w:id="8"/>
    </w:p>
    <w:p w:rsidR="00E16869" w:rsidRDefault="00E16869" w:rsidP="00E16869">
      <w:pPr>
        <w:jc w:val="both"/>
      </w:pPr>
      <w:r w:rsidRPr="00363AF3">
        <w:t xml:space="preserve">Kenya’da ekonomik yapının başlıca bileşenleri tarım, imalat, hizmetler ve gayri menkul sektörleridir. Tarım ekonominin %27’sini oluştururken, imalat sektörü %10’unu oluşturmaktadır. Tarım sektörü ihracatın %65’ini oluştururken istihdamın %18’ini içermektedir. GSYİH’ya inşaat sektörü %4,8 perakende sektörü %8,2; taşımacılık sektörü %8,3; gayrimenkul sektörü %7,8 katkıda bulunmaktadır. </w:t>
      </w:r>
    </w:p>
    <w:p w:rsidR="00E16869" w:rsidRPr="00363AF3" w:rsidRDefault="00E16869" w:rsidP="00E16869">
      <w:pPr>
        <w:jc w:val="both"/>
      </w:pPr>
      <w:r w:rsidRPr="00363AF3">
        <w:t xml:space="preserve">Kenya Doğu Afrika’nın ulaşım, finans ve iletişim merkezidir. 2015 yılında GSYİH’nın %60’ını teşkil eden hizmetler sektörünün 2016-2018 döneminde yıllık bazda ortalama %6 hızla büyümesi öngörülmektedir. Telekomünikasyon, bankacılık, perakende sektörü ve turizmin büyümede etkili olması beklenmektedir. Kenya Doğu Afrika’nın dağıtım merkezi olması sebebiyle özellikle taşımacılık en fazla hizmet ihracatı geliri yaratan sektör konumundadır. </w:t>
      </w:r>
    </w:p>
    <w:p w:rsidR="00E16869" w:rsidRDefault="00E16869" w:rsidP="00A17E9E">
      <w:pPr>
        <w:pStyle w:val="Heading2"/>
        <w:spacing w:line="240" w:lineRule="auto"/>
      </w:pPr>
      <w:bookmarkStart w:id="9" w:name="_Toc491348162"/>
      <w:r>
        <w:t>İmalat</w:t>
      </w:r>
      <w:bookmarkEnd w:id="9"/>
    </w:p>
    <w:p w:rsidR="00E16869" w:rsidRPr="00363AF3" w:rsidRDefault="00E16869" w:rsidP="00E16869">
      <w:pPr>
        <w:jc w:val="both"/>
      </w:pPr>
      <w:r w:rsidRPr="00363AF3">
        <w:t xml:space="preserve">İmalat reel çıktısı 2015 yılında %3,5 artmıştır. Geçen yıl %3,2 seviyesinde gerçekleşen çıktıdaki artışta en büyük etken düşen petrol fiyatları olmuştur. İmalat sektöründe başlıca artış tıbbi ürünler, içeçek, et ve et ürünleri ve metalik olmayan ürünler ile plastik ürünler kaynaklı olmuştur. Kenya Şilinin başlıca para birimlerine karşı değer yitirmesi sebebi ile artan hammadde maliyetleri Üretici Fiyatları Endeksinde %3,91 seviyesinde artışa sebep olmuştur. İmalat sektörü kayıtlı istihdam rakamı 295 bin kişidir. </w:t>
      </w:r>
    </w:p>
    <w:p w:rsidR="00A17E9E" w:rsidRDefault="00A17E9E" w:rsidP="00A17E9E">
      <w:pPr>
        <w:pStyle w:val="Heading2"/>
        <w:spacing w:line="240" w:lineRule="auto"/>
      </w:pPr>
      <w:bookmarkStart w:id="10" w:name="_Toc491348163"/>
      <w:r w:rsidRPr="00D66755">
        <w:t>Tarım</w:t>
      </w:r>
      <w:r w:rsidR="00E16869">
        <w:t xml:space="preserve"> &amp; Hayvancılık</w:t>
      </w:r>
      <w:bookmarkEnd w:id="10"/>
    </w:p>
    <w:p w:rsidR="00E16869" w:rsidRPr="00363AF3" w:rsidRDefault="00E16869" w:rsidP="00E16869">
      <w:pPr>
        <w:jc w:val="both"/>
      </w:pPr>
      <w:r w:rsidRPr="00363AF3">
        <w:t>Kenya nüfusunun önemli bir kısmının tarım ile iştigal ediyor olması, tabiat şartları ve yağışların önemini oldukça artırmaktadır. Tarımsal üretim ve nüfus yoğunluğu yağışların bol o</w:t>
      </w:r>
      <w:r>
        <w:t>lduğu bölgelerde görülmektedir.</w:t>
      </w:r>
      <w:r w:rsidRPr="00363AF3">
        <w:t>2015 yılı verilerine göre GSYİH’da %27’ye varan oranlarda pay alan tarım sektörü Kenya’daki istihdamın önemli bir kısmını sağlamakta olup, GSYİH içerisindeki ağırlığının azalarak devam etmesi beklenmektedir. 2015 yılında 39 milyon torba tahıl, 6,8 milyon ton şekerpancarı üretilmiştir.Bahçe tarımından 90 milyar KES ihracat geliri elde edilmiştir. Bahçe tarımında en büyük kalem gül yetiştirilmesi almaktadır.</w:t>
      </w:r>
    </w:p>
    <w:p w:rsidR="00E16869" w:rsidRPr="00363AF3" w:rsidRDefault="00E16869" w:rsidP="00E16869">
      <w:pPr>
        <w:jc w:val="both"/>
      </w:pPr>
      <w:r w:rsidRPr="00363AF3">
        <w:t xml:space="preserve">Ana kalemler çay, kesme çiçek ve kahve olmak üzere tarımsal ürün ihracatı Kenya’nın toplam ihracatının %’65 inden daha fazlasını teşkil etmektedir. Diğer tarımsal ürünler tropik meyveler, mısır, şeker, bezelye, patates, sisal ve süpürge darısıdır. </w:t>
      </w:r>
    </w:p>
    <w:p w:rsidR="00E16869" w:rsidRPr="00363AF3" w:rsidRDefault="00E16869" w:rsidP="00E16869">
      <w:pPr>
        <w:jc w:val="both"/>
      </w:pPr>
      <w:r w:rsidRPr="00363AF3">
        <w:lastRenderedPageBreak/>
        <w:t>En son 2015 yılı verilerine göre çay ihracatın %25’ini teşkil etmiştir. 2014 yılında çay ihracatından 123 milyon dolar ihracat geliri elde edilmiştir. 2015 yılında kahve ihracatından 20 milyon dolar ihracat geliri elde edilmiştir.</w:t>
      </w:r>
    </w:p>
    <w:p w:rsidR="00E16869" w:rsidRPr="00363AF3" w:rsidRDefault="00E16869" w:rsidP="00E16869">
      <w:pPr>
        <w:jc w:val="both"/>
      </w:pPr>
      <w:r w:rsidRPr="00363AF3">
        <w:t>Kesme çiçek, meyve ve sebze Kenya bahçecilik sektörünü meydana getirmekte olup, sözkonusu sektör çay ve kahveden sonra Kenya’nın en önemli ihracat kalemidir. 2015 yılında 690 milyon dolar değerinde kesme çiçek ve diğer bitkiler, 238 milyon dolar değerinde sebze ve meyve ihracatı gerçekleştirilmiştir. Kesme çiçek ihracatının %80’ini güller oluşturmaktadır. Önemli bir kısmı Hollanda ve İngiltere olmak üzere kesme çiçek ihracatının %90’ı Avrupa’ya yapılmaktadır. Kenya sebze ve meyve ihracatında fasulye, bezelye, makedemya fındığı ve avokado ilk sıralarda yer almaktadır.</w:t>
      </w:r>
    </w:p>
    <w:p w:rsidR="00E16869" w:rsidRPr="00E16869" w:rsidRDefault="00E16869" w:rsidP="00E16869">
      <w:pPr>
        <w:jc w:val="both"/>
      </w:pPr>
      <w:r w:rsidRPr="00363AF3">
        <w:t>Hayvancılık hem yağışların bol olduğu hem de yarı kurak bölgelerde yapılmaktadır. Afrika bölgesinin 3. En büyük hayvan nüfusuna sahip olan ülkelerden biri olan Kenya’da 17 milyon küçük ve büyükbaş hayvan bulunamktadır. Sığır, koyun ve keçi en çok yetiştirilen hayvanlardır. Kenya’da tavuk</w:t>
      </w:r>
      <w:r>
        <w:t xml:space="preserve"> </w:t>
      </w:r>
      <w:r w:rsidRPr="00363AF3">
        <w:t>üretimi de mevcut olup ağırlıklı olarak yerli tüketimi karşılamaktadır. Hem kırmızı hem de beyaz et ürünlerinde ihracat oldukça düşük seviyelerdedir. 2015 yılında 6,5 milyon baş küçükbaş, 2,2 milyon baş büyükbaş haycvan kesimhanelere gönderilmiştir.</w:t>
      </w:r>
    </w:p>
    <w:p w:rsidR="00E16869" w:rsidRPr="00363AF3" w:rsidRDefault="00E16869" w:rsidP="00E16869">
      <w:pPr>
        <w:pStyle w:val="Heading2"/>
      </w:pPr>
      <w:bookmarkStart w:id="11" w:name="_Toc491348164"/>
      <w:r w:rsidRPr="00363AF3">
        <w:t>İnşaat Sektörü</w:t>
      </w:r>
      <w:bookmarkEnd w:id="11"/>
    </w:p>
    <w:p w:rsidR="00E16869" w:rsidRPr="00363AF3" w:rsidRDefault="00E16869" w:rsidP="00E16869">
      <w:pPr>
        <w:jc w:val="both"/>
      </w:pPr>
      <w:r w:rsidRPr="00363AF3">
        <w:t xml:space="preserve">İnşaat sektörü Kenya’da 2015 yılında %13,6’lık büyüme kaydetmiştir. Sektörde resmi istihdam rakamları geçen yıla göre %11,4 artış göstererek 148 bin seviyesinde gerçekleşmiştir. Yol yapım işlerine yapılan harcamalar %79 seviyesinde artmıştır. Çimento tüketimi 2015 yılında bina ve inşaat sektöründe artışı bağlı olarak %9,9 artış göstermiştir. İnşaat maliyet indeksi 2014 yılı ile karşılaştırıldığında düşen petrol fiyatları sebebi ise 5,2  puanlık azalma ile %4,9 seviyesinde gerçekleştirmiştir. Raporlanan bina işleri indeksi 341’den 367 puana yükselmiştir. Sektörün kredi kullanım oranı %32 artarak 106 milyar Kenya Şilini seviyesinde çıkmıştır. </w:t>
      </w:r>
    </w:p>
    <w:p w:rsidR="00E16869" w:rsidRPr="00363AF3" w:rsidRDefault="00E16869" w:rsidP="00E16869">
      <w:pPr>
        <w:jc w:val="both"/>
      </w:pPr>
      <w:r w:rsidRPr="00363AF3">
        <w:t>Kenya’nın ekonomik gelişimi için altyapı yatırımlarına önemli derecede ihtiyaç duyulmaktadır. Altyapı yatırımları kamu bütçesinden ayrılan pay ve uluslararası yardım ve kalkınma kuruluşları ile diğer ülkelerden alınan borç ve hibe yoluyla finanse edilmektedir. Ülkedeki altyapı faaliyetlerinin önemli bir kısmı Çinli firmalarca üstlenilmektedir. Proje finansmanında kullanılmak üzere Çin devletince proje sahibi Kenyalı idareye borç sağlanmaktadır.</w:t>
      </w:r>
    </w:p>
    <w:p w:rsidR="00E16869" w:rsidRPr="00363AF3" w:rsidRDefault="00E16869" w:rsidP="00E16869">
      <w:pPr>
        <w:jc w:val="both"/>
      </w:pPr>
      <w:r w:rsidRPr="00363AF3">
        <w:t>Kenya’da inşaat sektörünün kritik bileşenleri, baraj inşaatları (Su ve Sulama Bakanlığı) yol inşaatı ve rehabilitasyonu (Altyapı ve Ulaştrıma Bakanlığı), standart demiryolu hattının yapılması(Kenya Railways Authority, Altyapı ve Ulaştrıma Bakanlığı),  , başlıca havalimanlarının rehabilitasyonu (Altyapı ve Ulaştrıma Bakanlığı) , Lamu limanı (LAPPSET Authority, Altyapı ve Ulaştrıma Bakanlığı ) ve ilgili altyapı projeleri, jeotermal ve rüzgar santrali projeleri (Enerji Bakanlığı, Ketraco ), kent</w:t>
      </w:r>
      <w:r>
        <w:t>sel kalkınma için ev inşaatıdır</w:t>
      </w:r>
      <w:r w:rsidRPr="00363AF3">
        <w:t xml:space="preserve"> (Land, Housing and Urbanization Ministry)</w:t>
      </w:r>
      <w:r>
        <w:t>.</w:t>
      </w:r>
    </w:p>
    <w:p w:rsidR="00276023" w:rsidRDefault="00276023">
      <w:pPr>
        <w:rPr>
          <w:rFonts w:asciiTheme="majorHAnsi" w:eastAsiaTheme="majorEastAsia" w:hAnsiTheme="majorHAnsi" w:cstheme="majorBidi"/>
          <w:b/>
          <w:bCs/>
          <w:color w:val="4F81BD" w:themeColor="accent1"/>
          <w:sz w:val="26"/>
          <w:szCs w:val="26"/>
        </w:rPr>
      </w:pPr>
      <w:bookmarkStart w:id="12" w:name="_Toc491348165"/>
      <w:r>
        <w:br w:type="page"/>
      </w:r>
    </w:p>
    <w:p w:rsidR="00A17E9E" w:rsidRDefault="00A17E9E" w:rsidP="00A17E9E">
      <w:pPr>
        <w:pStyle w:val="Heading2"/>
        <w:spacing w:line="240" w:lineRule="auto"/>
      </w:pPr>
      <w:r w:rsidRPr="00D66755">
        <w:lastRenderedPageBreak/>
        <w:t>Enerji</w:t>
      </w:r>
      <w:bookmarkEnd w:id="12"/>
    </w:p>
    <w:p w:rsidR="00E16869" w:rsidRPr="00363AF3" w:rsidRDefault="00E16869" w:rsidP="00E16869">
      <w:pPr>
        <w:jc w:val="both"/>
      </w:pPr>
      <w:r w:rsidRPr="00363AF3">
        <w:t xml:space="preserve">2015 yılında varil başına ortalama petrol fiyatlarının düşmesi sebebi ile petrol ithalatı %32 azalarak 226 milyar KES olmuştur. Buna karşın ithalat hacm ise 30 ton artarak 4,431 milyon ton olmuştur. Kurulu toplam elektrik kapasitesi %6a artarak 2.336 MW olmuş, üretim ise %4 artarak 9.514 GWh olmuştur. Elektrik talebi 7.415 milyon KWh’dan 7.826 milyon kWh’a çıkmıştır. </w:t>
      </w:r>
    </w:p>
    <w:p w:rsidR="00E16869" w:rsidRPr="00363AF3" w:rsidRDefault="00E16869" w:rsidP="00E16869">
      <w:pPr>
        <w:jc w:val="both"/>
      </w:pPr>
      <w:r w:rsidRPr="00363AF3">
        <w:t xml:space="preserve">Uzun süreli arayışlar neticesinde Kenya’da ilk kez 2012 yılı Mart ayında petrol bulunmuştur.  Petrol ve doğalgazda dışa bağımlılığın azalması ve sözkonusu ürünlerin düşük maliyetlerle temin edilebilmesi Kenya ekonomisini olumlu yönde etkileme potansiyeline sahiptir. Ayrıca Kenya’nın dış dünyaya petrol ve doğalgaz satışı gerçekleştirebilmesi ile birlikte kamu bütçesinin güçlenerek ulaştırma ve enerji altyapısı için kaynak ayrılabilmesi imkanı doğacaktır. Ülkede madencilik sektörünün düzenlenmesini hedefleyen yasal altyapı çalışmaları petrol, titanyum, kömür, demir cevheri ve  altın gibi diğer madenlerin keşfi ile hız kazanmıştır. </w:t>
      </w:r>
    </w:p>
    <w:p w:rsidR="00E16869" w:rsidRPr="00363AF3" w:rsidRDefault="00E16869" w:rsidP="00E16869">
      <w:pPr>
        <w:jc w:val="both"/>
      </w:pPr>
      <w:r w:rsidRPr="00363AF3">
        <w:t>Doğu Afrika’nın tek petrol rafinerisi Kenya’nın Mombasa şehrindedir. Petrolün bir kısmı işlenmiş bir kısmı ham olarak ithal edilmektedir. Ham petrol Mombasa rafinerisinde işlenerek Kenya’ya ve bölge ülkelerine dağıtılmaktadır. Petrol ürünlerinin dağıtımında birçok özel işletme faaliyet göstermekte olup petrol, boru hatları ile Nairobi, Eldoret ve Kisumu şehirlerine taşınmaktadır.</w:t>
      </w:r>
    </w:p>
    <w:p w:rsidR="00E16869" w:rsidRPr="00363AF3" w:rsidRDefault="00E16869" w:rsidP="00E16869">
      <w:pPr>
        <w:jc w:val="both"/>
      </w:pPr>
      <w:r w:rsidRPr="00363AF3">
        <w:t>Kenya madencilik sektörü birkaç yıl öncesine kadar milli hasıladan sadece %1 pay almakta ve  kısıtlı miktarda soda külü, kaolin ve değerli taş üretiminden oluşmakta iken, 2014 yılından itibaren titanyum ihracatına başlanması ve yeni keşifler madencilik sektörünün büyümesini sağlayacaktır.</w:t>
      </w:r>
    </w:p>
    <w:p w:rsidR="00E16869" w:rsidRPr="00363AF3" w:rsidRDefault="00E16869" w:rsidP="00E16869">
      <w:pPr>
        <w:pStyle w:val="Heading2"/>
      </w:pPr>
      <w:bookmarkStart w:id="13" w:name="_Toc491348166"/>
      <w:r w:rsidRPr="00363AF3">
        <w:t>Turizm</w:t>
      </w:r>
      <w:bookmarkEnd w:id="13"/>
    </w:p>
    <w:p w:rsidR="00E16869" w:rsidRPr="00363AF3" w:rsidRDefault="00E16869" w:rsidP="00E16869">
      <w:pPr>
        <w:jc w:val="both"/>
      </w:pPr>
      <w:r w:rsidRPr="00363AF3">
        <w:t>Kenya Doğu Afrika’daki önemli turizm ülkelerinden biridir. Değişik tabiat güzelliklerini, vahşi yaşamı ve farklı kültürleri Kenya’da birarada görmek mümkündür. Dünya’daki büyük kedi nüfusunun en yoğun olduğu bölgelerden biri olan Masai Mara Ulusal Parkı Tanzanya’daki Serengeti’nin devamı olarak ülkenin güneybatısında yer almaktadır. Masai Mara özellikle büyük göçün yaşandığı Temmuz ve Ekim ayları arasında her yıl binlerce safari turistinin Kenya’yı ziyaret etmesini sağlamaktadır.</w:t>
      </w:r>
    </w:p>
    <w:p w:rsidR="00E16869" w:rsidRPr="00363AF3" w:rsidRDefault="00E16869" w:rsidP="00E16869">
      <w:pPr>
        <w:jc w:val="both"/>
      </w:pPr>
      <w:r w:rsidRPr="00363AF3">
        <w:t xml:space="preserve">2015 yılında turizm gelirleri geçen yıla göre 500 milyon KES azalarak 84,6 milyar KES olmuştur. 2015 yılı verilerine göre Kenya’ya gelen uluslararası ziyaretçi sayısı %12,6 azalarak  1,18 milyon olmuştur. Düşüste güvenlik kaygıları sebebiyle Avrupa bölgesinden gelen ziyaretçi sayısnın azalmasının etkisi olmuştur. Müze ve tarihi yerleri ziyaret eden kişi sayısı geçen yıla göre  %15 artarak 797 bin kişi olmuştur. Ulusal parkları ve safari alanlarını ziyaret eden kişi sayısı ise %10 azalarak 1,9 milyon olmuştur. </w:t>
      </w:r>
    </w:p>
    <w:p w:rsidR="00276023" w:rsidRDefault="00276023">
      <w:pPr>
        <w:rPr>
          <w:rFonts w:asciiTheme="majorHAnsi" w:eastAsiaTheme="majorEastAsia" w:hAnsiTheme="majorHAnsi" w:cstheme="majorBidi"/>
          <w:b/>
          <w:bCs/>
          <w:color w:val="4F81BD" w:themeColor="accent1"/>
          <w:sz w:val="26"/>
          <w:szCs w:val="26"/>
        </w:rPr>
      </w:pPr>
      <w:bookmarkStart w:id="14" w:name="_Toc491348167"/>
      <w:r>
        <w:br w:type="page"/>
      </w:r>
    </w:p>
    <w:p w:rsidR="00E16869" w:rsidRPr="00363AF3" w:rsidRDefault="00E16869" w:rsidP="00E16869">
      <w:pPr>
        <w:pStyle w:val="Heading2"/>
      </w:pPr>
      <w:r w:rsidRPr="00363AF3">
        <w:lastRenderedPageBreak/>
        <w:t>Taşımacılık</w:t>
      </w:r>
      <w:bookmarkEnd w:id="14"/>
    </w:p>
    <w:p w:rsidR="00E16869" w:rsidRPr="00363AF3" w:rsidRDefault="00E16869" w:rsidP="00E16869">
      <w:pPr>
        <w:jc w:val="both"/>
      </w:pPr>
      <w:r w:rsidRPr="00363AF3">
        <w:t>Kenya Doğu Afrika’nın idare  ve dağıtım merkezi olarak hem yerel piyasasına hem de Doğu Afrika pazarına üretim yapmaktadır. Kenya’nın uluslararası şirketlerce Doğu Afrika’nın merkezi olarak görülmesi Kenya’da taşımacılığı şekillendiren temel unsur olmaktadır.</w:t>
      </w:r>
    </w:p>
    <w:p w:rsidR="00E16869" w:rsidRPr="00363AF3" w:rsidRDefault="00E16869" w:rsidP="00E16869">
      <w:pPr>
        <w:jc w:val="both"/>
      </w:pPr>
      <w:r w:rsidRPr="00363AF3">
        <w:t xml:space="preserve">Taşımacılık sektörü 2015 yılında %6,4 büyume gerçekleştirerek GSYİH katkısı 951 milyar KES olmuştur. Mombasa limanında elleçlenen kargo 24.875 tondan 26.732 tona çıkmıştır. Toplam konteyner trafiği ise %6 artarak 1.076.118 TEU olmuştur. </w:t>
      </w:r>
    </w:p>
    <w:p w:rsidR="00E16869" w:rsidRPr="00363AF3" w:rsidRDefault="00E16869" w:rsidP="00E16869">
      <w:pPr>
        <w:jc w:val="both"/>
      </w:pPr>
      <w:r w:rsidRPr="00363AF3">
        <w:t xml:space="preserve">Petrol boru hatları ile taşınan miktar ise 2015 yılında %2,8 artarak 5.712 bin kübik metre olmuştur. Tren ile yapılan yük taşımacılığı artarken, toplam kargo trafiği 1,575 milyon ton olmuştur. Yük taşımacılığından elde edilen gelir 6,2 milyar KES seviyesinde gerçekleşmiştir. </w:t>
      </w:r>
    </w:p>
    <w:p w:rsidR="00E16869" w:rsidRPr="00363AF3" w:rsidRDefault="00E16869" w:rsidP="00E16869">
      <w:pPr>
        <w:pStyle w:val="Heading2"/>
      </w:pPr>
      <w:bookmarkStart w:id="15" w:name="_Toc491348168"/>
      <w:r w:rsidRPr="00363AF3">
        <w:t>Bankacılık</w:t>
      </w:r>
      <w:bookmarkEnd w:id="15"/>
      <w:r w:rsidRPr="00363AF3">
        <w:t xml:space="preserve"> </w:t>
      </w:r>
    </w:p>
    <w:p w:rsidR="00E16869" w:rsidRPr="00363AF3" w:rsidRDefault="00E16869" w:rsidP="00E16869">
      <w:pPr>
        <w:jc w:val="both"/>
      </w:pPr>
      <w:r w:rsidRPr="00363AF3">
        <w:t>1994’de Kenya hükümeti, Kambiyo Kontrol Yasasındaki sınırlamaları kaldırarak, döviz ve kambiyo kontrollerini gevşetmiştir. Bu itibarla, ihracatçıların elde ettikleri döviz gelirlerini Kenya’daki ticari bankalarda tutmalarına, bankaların da kendi nam ve hesaplarına döviz alıp satmalarına müsaade edilmiştir. Yapılan liberalleştirme çalışmaları neticesinde; Kenya vatandaşları, döviz hesabı açabilme, hükümet garantisi aranmaksızın uluslararası piyasalardan kredi kullanma imkanlarına kavuşmuşlar, diğer taraftan, Kenya’daki yabancı yatırımcılar da yerel kredilerden faydalanabilme imkanına sahip olmuşlar, yatırım gelirlerinin ülke dışına transferi üzerindeki sınırlandırmalar kaldırılmıştır. Öte yandan 1 Ağustos 2013 tarihinden itibaren finansal işlem masraflarından %10 vergi alınmaya başlanmıştır.</w:t>
      </w:r>
    </w:p>
    <w:p w:rsidR="00E16869" w:rsidRPr="00363AF3" w:rsidRDefault="00E16869" w:rsidP="00E16869">
      <w:pPr>
        <w:jc w:val="both"/>
      </w:pPr>
      <w:r w:rsidRPr="00363AF3">
        <w:t xml:space="preserve">Kenya’daki bankacılık sektörü şirketler kanunu, merkez bankası kanunu ve bankacılık kanunu ile düzenlenmektedir. Yabancı bir banka Kenya’da şube açabileceği gibi, yabancı bankanın hissedarları da Kenya’da yerel bir şirket kurarak bankacılık izni başvurusunda bulunabilir. Kenya’da bankaların denetimi Kenya Merkez Bankası tarafından sağlanmakta ve işletme lisansları da adı geçen Kurumdan alınmaktadır. Kenya’da halihazırda 3 devlet bankası, 1 i ipote bankası olmak üzere 26 yerel banka, 14 yabancı ortaklı toplamda 43 ticari banka mevcuttur. 2014 yılında sözkonusu kuruluşlarca 18 milyar dolarlık kredi kullandırılmıştır. 2014 yılı ticari faiz oranları ortalama %16,2 olmuştur. </w:t>
      </w:r>
    </w:p>
    <w:p w:rsidR="00E16869" w:rsidRPr="00363AF3" w:rsidRDefault="00E16869" w:rsidP="00E16869">
      <w:pPr>
        <w:jc w:val="both"/>
      </w:pPr>
      <w:r w:rsidRPr="00363AF3">
        <w:t>Bankacılık sektörüne ilişkin temel veriler aşağıda yer almaktadır, sektöre ilişkin verilere ve gelişmelere Kenya Merkez Bankası’nın www.centralbank.go.ke web adresinde yer alan yıllık raporlardan ulaşılabilmektedir.</w:t>
      </w:r>
    </w:p>
    <w:p w:rsidR="00E16869" w:rsidRPr="00363AF3" w:rsidRDefault="00E16869" w:rsidP="00E16869">
      <w:pPr>
        <w:pStyle w:val="Heading2"/>
        <w:rPr>
          <w:lang w:val="en-US"/>
        </w:rPr>
      </w:pPr>
      <w:bookmarkStart w:id="16" w:name="_Toc491348169"/>
      <w:r w:rsidRPr="00363AF3">
        <w:rPr>
          <w:lang w:val="en-US"/>
        </w:rPr>
        <w:t>Madencilik</w:t>
      </w:r>
      <w:bookmarkEnd w:id="16"/>
    </w:p>
    <w:p w:rsidR="00E16869" w:rsidRPr="00363AF3" w:rsidRDefault="00E16869" w:rsidP="00E16869">
      <w:pPr>
        <w:jc w:val="both"/>
        <w:rPr>
          <w:lang w:val="en-US"/>
        </w:rPr>
      </w:pPr>
      <w:r w:rsidRPr="00363AF3">
        <w:rPr>
          <w:lang w:val="en-US"/>
        </w:rPr>
        <w:t>Madencilik ve taşocakçılığı GSYİH’nın yaklaşık %0</w:t>
      </w:r>
      <w:proofErr w:type="gramStart"/>
      <w:r w:rsidRPr="00363AF3">
        <w:rPr>
          <w:lang w:val="en-US"/>
        </w:rPr>
        <w:t>,5’ini</w:t>
      </w:r>
      <w:proofErr w:type="gramEnd"/>
      <w:r w:rsidRPr="00363AF3">
        <w:rPr>
          <w:lang w:val="en-US"/>
        </w:rPr>
        <w:t xml:space="preserve"> oluşturmaktadır. </w:t>
      </w:r>
      <w:proofErr w:type="gramStart"/>
      <w:r w:rsidRPr="00363AF3">
        <w:rPr>
          <w:lang w:val="en-US"/>
        </w:rPr>
        <w:t>En önemli üretim Magadi Gölündeki soda üretim faaliyetidir.</w:t>
      </w:r>
      <w:proofErr w:type="gramEnd"/>
      <w:r w:rsidRPr="00363AF3">
        <w:rPr>
          <w:lang w:val="en-US"/>
        </w:rPr>
        <w:t xml:space="preserve"> </w:t>
      </w:r>
      <w:proofErr w:type="gramStart"/>
      <w:r w:rsidRPr="00363AF3">
        <w:rPr>
          <w:lang w:val="en-US"/>
        </w:rPr>
        <w:t>Magadi Soda şirketi İngiliz Brunner Mond Grup bünyesinde olup, Afrika’daki en büyük soda üreticisi ve ihracatçısı konumundadır.</w:t>
      </w:r>
      <w:proofErr w:type="gramEnd"/>
      <w:r w:rsidRPr="00363AF3">
        <w:rPr>
          <w:lang w:val="en-US"/>
        </w:rPr>
        <w:t xml:space="preserve"> </w:t>
      </w:r>
      <w:proofErr w:type="gramStart"/>
      <w:r w:rsidRPr="00363AF3">
        <w:rPr>
          <w:lang w:val="en-US"/>
        </w:rPr>
        <w:t>Magadi Soda cam sanayi hammaddesi olarak yüksek oranlı saflaştırılmış soda üretim tesisi kurmayı planlamaktadır.</w:t>
      </w:r>
      <w:proofErr w:type="gramEnd"/>
    </w:p>
    <w:p w:rsidR="00276023" w:rsidRDefault="00276023">
      <w:pPr>
        <w:rPr>
          <w:rFonts w:asciiTheme="majorHAnsi" w:eastAsiaTheme="majorEastAsia" w:hAnsiTheme="majorHAnsi" w:cstheme="majorBidi"/>
          <w:b/>
          <w:bCs/>
          <w:color w:val="365F91" w:themeColor="accent1" w:themeShade="BF"/>
          <w:sz w:val="28"/>
          <w:szCs w:val="28"/>
        </w:rPr>
      </w:pPr>
      <w:bookmarkStart w:id="17" w:name="_Toc491348170"/>
      <w:r>
        <w:br w:type="page"/>
      </w:r>
    </w:p>
    <w:p w:rsidR="00A17E9E" w:rsidRDefault="00A17E9E" w:rsidP="00A17E9E">
      <w:pPr>
        <w:pStyle w:val="Heading1"/>
        <w:spacing w:line="240" w:lineRule="auto"/>
      </w:pPr>
      <w:r w:rsidRPr="00D66755">
        <w:lastRenderedPageBreak/>
        <w:t>Dış Ticaret</w:t>
      </w:r>
      <w:bookmarkEnd w:id="17"/>
    </w:p>
    <w:p w:rsidR="00276023" w:rsidRDefault="00E16869" w:rsidP="00276023">
      <w:pPr>
        <w:jc w:val="both"/>
        <w:rPr>
          <w:lang w:val="en-US"/>
        </w:rPr>
      </w:pPr>
      <w:r w:rsidRPr="00363AF3">
        <w:t>2015 yılında dış ticaret dengesi bir önceki yıla göre 84 milyar dolar KES artarak -1.081 milyar KES seviyesinde gerçekleşmiştir. Toplam ihracat bir önceki yıla göre %8,2 artarak 581 milyar KES, toplam ithalat ise %2,5 azalarak 1.578 milyar KES olmuştur. Toplm dıl ticaret geçen yıla göre sadece 2 milyar KES artmıştır. İhracatın ithalatı karşılama oranı %33,2’den %36,8’e yükselmiş, ihracatta başlıca ürümler çay, taze sebze ve meyve, tekstil ve hazır güyüm ürünler, kahve olmui bahsekonu ürünler toplam ihracatın %54,6’sını oluşturmuştur. 2015 yılında da Afirka ülkeleri ihracatın %41’ini yapıldığı temel ihracat rotası olmuştur. Afrika kıtasında 69 milyar KES ile Uganda başlıca ihracat yapılan ülke olmuştur. Aynı dönemde ithalatın en gazla yapıldığı bölge Asya bölgesi olmuş, 2015 yılında bölgeden 982 milyar KES ithalat gerçekleştirilmiştir. Aynı dönemde ödemeler dengesinde 2014 yılında gerçekleşen 128 milyar KES fazla 2015 yılında 25 milyar KES açığa dönüşmüştür.</w:t>
      </w:r>
      <w:bookmarkStart w:id="18" w:name="_Toc491348171"/>
    </w:p>
    <w:p w:rsidR="00E16869" w:rsidRPr="00276023" w:rsidRDefault="00E16869" w:rsidP="00276023">
      <w:pPr>
        <w:pStyle w:val="Heading2"/>
      </w:pPr>
      <w:r w:rsidRPr="00363AF3">
        <w:rPr>
          <w:lang w:val="en-US"/>
        </w:rPr>
        <w:t>Dış Ticaret Göstergeleri (Milyon Dolar)</w:t>
      </w:r>
      <w:bookmarkEnd w:id="18"/>
    </w:p>
    <w:tbl>
      <w:tblPr>
        <w:tblStyle w:val="TableGrid"/>
        <w:tblW w:w="8400" w:type="dxa"/>
        <w:tblLook w:val="04A0" w:firstRow="1" w:lastRow="0" w:firstColumn="1" w:lastColumn="0" w:noHBand="0" w:noVBand="1"/>
      </w:tblPr>
      <w:tblGrid>
        <w:gridCol w:w="1536"/>
        <w:gridCol w:w="1734"/>
        <w:gridCol w:w="1716"/>
        <w:gridCol w:w="1698"/>
        <w:gridCol w:w="1716"/>
      </w:tblGrid>
      <w:tr w:rsidR="00E16869" w:rsidRPr="00E16869" w:rsidTr="00E16869">
        <w:tc>
          <w:tcPr>
            <w:tcW w:w="1275" w:type="dxa"/>
            <w:vAlign w:val="center"/>
            <w:hideMark/>
          </w:tcPr>
          <w:p w:rsidR="00E16869" w:rsidRPr="00D559BB" w:rsidRDefault="00E16869" w:rsidP="00E16869">
            <w:pPr>
              <w:pStyle w:val="NoSpacing"/>
              <w:jc w:val="center"/>
              <w:rPr>
                <w:b/>
              </w:rPr>
            </w:pPr>
            <w:r w:rsidRPr="00D559BB">
              <w:rPr>
                <w:b/>
              </w:rPr>
              <w:t>Yıl</w:t>
            </w:r>
          </w:p>
        </w:tc>
        <w:tc>
          <w:tcPr>
            <w:tcW w:w="1440" w:type="dxa"/>
            <w:vAlign w:val="center"/>
            <w:hideMark/>
          </w:tcPr>
          <w:p w:rsidR="00E16869" w:rsidRPr="00D559BB" w:rsidRDefault="00E16869" w:rsidP="00E16869">
            <w:pPr>
              <w:pStyle w:val="NoSpacing"/>
              <w:jc w:val="center"/>
              <w:rPr>
                <w:b/>
              </w:rPr>
            </w:pPr>
            <w:r w:rsidRPr="00D559BB">
              <w:rPr>
                <w:b/>
              </w:rPr>
              <w:t>İhracat</w:t>
            </w:r>
          </w:p>
        </w:tc>
        <w:tc>
          <w:tcPr>
            <w:tcW w:w="1425" w:type="dxa"/>
            <w:vAlign w:val="center"/>
            <w:hideMark/>
          </w:tcPr>
          <w:p w:rsidR="00E16869" w:rsidRPr="00D559BB" w:rsidRDefault="00E16869" w:rsidP="00E16869">
            <w:pPr>
              <w:pStyle w:val="NoSpacing"/>
              <w:jc w:val="center"/>
              <w:rPr>
                <w:b/>
              </w:rPr>
            </w:pPr>
            <w:r w:rsidRPr="00D559BB">
              <w:rPr>
                <w:b/>
              </w:rPr>
              <w:t>İthalat</w:t>
            </w:r>
          </w:p>
        </w:tc>
        <w:tc>
          <w:tcPr>
            <w:tcW w:w="1410" w:type="dxa"/>
            <w:vAlign w:val="center"/>
            <w:hideMark/>
          </w:tcPr>
          <w:p w:rsidR="00E16869" w:rsidRPr="00D559BB" w:rsidRDefault="00E16869" w:rsidP="00E16869">
            <w:pPr>
              <w:pStyle w:val="NoSpacing"/>
              <w:jc w:val="center"/>
              <w:rPr>
                <w:b/>
              </w:rPr>
            </w:pPr>
            <w:r w:rsidRPr="00D559BB">
              <w:rPr>
                <w:b/>
              </w:rPr>
              <w:t>Denge</w:t>
            </w:r>
          </w:p>
        </w:tc>
        <w:tc>
          <w:tcPr>
            <w:tcW w:w="1425" w:type="dxa"/>
            <w:vAlign w:val="center"/>
            <w:hideMark/>
          </w:tcPr>
          <w:p w:rsidR="00E16869" w:rsidRPr="00D559BB" w:rsidRDefault="00E16869" w:rsidP="00E16869">
            <w:pPr>
              <w:pStyle w:val="NoSpacing"/>
              <w:jc w:val="center"/>
              <w:rPr>
                <w:b/>
              </w:rPr>
            </w:pPr>
            <w:r w:rsidRPr="00D559BB">
              <w:rPr>
                <w:b/>
              </w:rPr>
              <w:t>Hacim</w:t>
            </w:r>
          </w:p>
        </w:tc>
      </w:tr>
      <w:tr w:rsidR="00E16869" w:rsidRPr="00E16869" w:rsidTr="00E16869">
        <w:tc>
          <w:tcPr>
            <w:tcW w:w="1275" w:type="dxa"/>
            <w:vAlign w:val="center"/>
            <w:hideMark/>
          </w:tcPr>
          <w:p w:rsidR="00E16869" w:rsidRPr="00E16869" w:rsidRDefault="00E16869" w:rsidP="00E16869">
            <w:pPr>
              <w:pStyle w:val="NoSpacing"/>
              <w:jc w:val="center"/>
            </w:pPr>
            <w:r w:rsidRPr="00E16869">
              <w:t>2005</w:t>
            </w:r>
          </w:p>
        </w:tc>
        <w:tc>
          <w:tcPr>
            <w:tcW w:w="1440" w:type="dxa"/>
            <w:vAlign w:val="center"/>
            <w:hideMark/>
          </w:tcPr>
          <w:p w:rsidR="00E16869" w:rsidRPr="00E16869" w:rsidRDefault="00E16869" w:rsidP="00E16869">
            <w:pPr>
              <w:pStyle w:val="NoSpacing"/>
              <w:jc w:val="center"/>
            </w:pPr>
            <w:r w:rsidRPr="00E16869">
              <w:t>3.420</w:t>
            </w:r>
          </w:p>
        </w:tc>
        <w:tc>
          <w:tcPr>
            <w:tcW w:w="1425" w:type="dxa"/>
            <w:vAlign w:val="center"/>
            <w:hideMark/>
          </w:tcPr>
          <w:p w:rsidR="00E16869" w:rsidRPr="00E16869" w:rsidRDefault="00E16869" w:rsidP="00E16869">
            <w:pPr>
              <w:pStyle w:val="NoSpacing"/>
              <w:jc w:val="center"/>
            </w:pPr>
            <w:r w:rsidRPr="00E16869">
              <w:t>5.846</w:t>
            </w:r>
          </w:p>
        </w:tc>
        <w:tc>
          <w:tcPr>
            <w:tcW w:w="1410" w:type="dxa"/>
            <w:vAlign w:val="center"/>
            <w:hideMark/>
          </w:tcPr>
          <w:p w:rsidR="00E16869" w:rsidRPr="00E16869" w:rsidRDefault="00E16869" w:rsidP="00E16869">
            <w:pPr>
              <w:pStyle w:val="NoSpacing"/>
              <w:jc w:val="center"/>
            </w:pPr>
            <w:r w:rsidRPr="00E16869">
              <w:t>-2.426</w:t>
            </w:r>
          </w:p>
        </w:tc>
        <w:tc>
          <w:tcPr>
            <w:tcW w:w="1425" w:type="dxa"/>
            <w:vAlign w:val="center"/>
            <w:hideMark/>
          </w:tcPr>
          <w:p w:rsidR="00E16869" w:rsidRPr="00E16869" w:rsidRDefault="00E16869" w:rsidP="00E16869">
            <w:pPr>
              <w:pStyle w:val="NoSpacing"/>
              <w:jc w:val="center"/>
            </w:pPr>
            <w:r w:rsidRPr="00E16869">
              <w:t>9.266</w:t>
            </w:r>
          </w:p>
        </w:tc>
      </w:tr>
      <w:tr w:rsidR="00E16869" w:rsidRPr="00E16869" w:rsidTr="00E16869">
        <w:tc>
          <w:tcPr>
            <w:tcW w:w="1275" w:type="dxa"/>
            <w:vAlign w:val="center"/>
            <w:hideMark/>
          </w:tcPr>
          <w:p w:rsidR="00E16869" w:rsidRPr="00E16869" w:rsidRDefault="00E16869" w:rsidP="00E16869">
            <w:pPr>
              <w:pStyle w:val="NoSpacing"/>
              <w:jc w:val="center"/>
            </w:pPr>
            <w:r w:rsidRPr="00E16869">
              <w:t>2006</w:t>
            </w:r>
          </w:p>
        </w:tc>
        <w:tc>
          <w:tcPr>
            <w:tcW w:w="1440" w:type="dxa"/>
            <w:vAlign w:val="center"/>
            <w:hideMark/>
          </w:tcPr>
          <w:p w:rsidR="00E16869" w:rsidRPr="00E16869" w:rsidRDefault="00E16869" w:rsidP="00E16869">
            <w:pPr>
              <w:pStyle w:val="NoSpacing"/>
              <w:jc w:val="center"/>
            </w:pPr>
            <w:r w:rsidRPr="00E16869">
              <w:t>3.502</w:t>
            </w:r>
          </w:p>
        </w:tc>
        <w:tc>
          <w:tcPr>
            <w:tcW w:w="1425" w:type="dxa"/>
            <w:vAlign w:val="center"/>
            <w:hideMark/>
          </w:tcPr>
          <w:p w:rsidR="00E16869" w:rsidRPr="00E16869" w:rsidRDefault="00E16869" w:rsidP="00E16869">
            <w:pPr>
              <w:pStyle w:val="NoSpacing"/>
              <w:jc w:val="center"/>
            </w:pPr>
            <w:r w:rsidRPr="00E16869">
              <w:t>7.233</w:t>
            </w:r>
          </w:p>
        </w:tc>
        <w:tc>
          <w:tcPr>
            <w:tcW w:w="1410" w:type="dxa"/>
            <w:vAlign w:val="center"/>
            <w:hideMark/>
          </w:tcPr>
          <w:p w:rsidR="00E16869" w:rsidRPr="00E16869" w:rsidRDefault="00E16869" w:rsidP="00E16869">
            <w:pPr>
              <w:pStyle w:val="NoSpacing"/>
              <w:jc w:val="center"/>
            </w:pPr>
            <w:r w:rsidRPr="00E16869">
              <w:t>-3.731</w:t>
            </w:r>
          </w:p>
        </w:tc>
        <w:tc>
          <w:tcPr>
            <w:tcW w:w="1425" w:type="dxa"/>
            <w:vAlign w:val="center"/>
            <w:hideMark/>
          </w:tcPr>
          <w:p w:rsidR="00E16869" w:rsidRPr="00E16869" w:rsidRDefault="00E16869" w:rsidP="00E16869">
            <w:pPr>
              <w:pStyle w:val="NoSpacing"/>
              <w:jc w:val="center"/>
            </w:pPr>
            <w:r w:rsidRPr="00E16869">
              <w:t>10.735</w:t>
            </w:r>
          </w:p>
        </w:tc>
      </w:tr>
      <w:tr w:rsidR="00E16869" w:rsidRPr="00E16869" w:rsidTr="00E16869">
        <w:tc>
          <w:tcPr>
            <w:tcW w:w="1275" w:type="dxa"/>
            <w:vAlign w:val="center"/>
            <w:hideMark/>
          </w:tcPr>
          <w:p w:rsidR="00E16869" w:rsidRPr="00E16869" w:rsidRDefault="00E16869" w:rsidP="00E16869">
            <w:pPr>
              <w:pStyle w:val="NoSpacing"/>
              <w:jc w:val="center"/>
            </w:pPr>
            <w:r w:rsidRPr="00E16869">
              <w:t>2007</w:t>
            </w:r>
          </w:p>
        </w:tc>
        <w:tc>
          <w:tcPr>
            <w:tcW w:w="1440" w:type="dxa"/>
            <w:vAlign w:val="center"/>
            <w:hideMark/>
          </w:tcPr>
          <w:p w:rsidR="00E16869" w:rsidRPr="00E16869" w:rsidRDefault="00E16869" w:rsidP="00E16869">
            <w:pPr>
              <w:pStyle w:val="NoSpacing"/>
              <w:jc w:val="center"/>
            </w:pPr>
            <w:r w:rsidRPr="00E16869">
              <w:t>4.081</w:t>
            </w:r>
          </w:p>
        </w:tc>
        <w:tc>
          <w:tcPr>
            <w:tcW w:w="1425" w:type="dxa"/>
            <w:vAlign w:val="center"/>
            <w:hideMark/>
          </w:tcPr>
          <w:p w:rsidR="00E16869" w:rsidRPr="00E16869" w:rsidRDefault="00E16869" w:rsidP="00E16869">
            <w:pPr>
              <w:pStyle w:val="NoSpacing"/>
              <w:jc w:val="center"/>
            </w:pPr>
            <w:r w:rsidRPr="00E16869">
              <w:t>8.989</w:t>
            </w:r>
          </w:p>
        </w:tc>
        <w:tc>
          <w:tcPr>
            <w:tcW w:w="1410" w:type="dxa"/>
            <w:vAlign w:val="center"/>
            <w:hideMark/>
          </w:tcPr>
          <w:p w:rsidR="00E16869" w:rsidRPr="00E16869" w:rsidRDefault="00E16869" w:rsidP="00E16869">
            <w:pPr>
              <w:pStyle w:val="NoSpacing"/>
              <w:jc w:val="center"/>
            </w:pPr>
            <w:r w:rsidRPr="00E16869">
              <w:t>-4.908</w:t>
            </w:r>
          </w:p>
        </w:tc>
        <w:tc>
          <w:tcPr>
            <w:tcW w:w="1425" w:type="dxa"/>
            <w:vAlign w:val="center"/>
            <w:hideMark/>
          </w:tcPr>
          <w:p w:rsidR="00E16869" w:rsidRPr="00E16869" w:rsidRDefault="00E16869" w:rsidP="00E16869">
            <w:pPr>
              <w:pStyle w:val="NoSpacing"/>
              <w:jc w:val="center"/>
            </w:pPr>
            <w:r w:rsidRPr="00E16869">
              <w:t>13.070</w:t>
            </w:r>
          </w:p>
        </w:tc>
      </w:tr>
      <w:tr w:rsidR="00E16869" w:rsidRPr="00E16869" w:rsidTr="00E16869">
        <w:tc>
          <w:tcPr>
            <w:tcW w:w="1275" w:type="dxa"/>
            <w:vAlign w:val="center"/>
            <w:hideMark/>
          </w:tcPr>
          <w:p w:rsidR="00E16869" w:rsidRPr="00E16869" w:rsidRDefault="00E16869" w:rsidP="00E16869">
            <w:pPr>
              <w:pStyle w:val="NoSpacing"/>
              <w:jc w:val="center"/>
            </w:pPr>
            <w:r w:rsidRPr="00E16869">
              <w:t>2008</w:t>
            </w:r>
          </w:p>
        </w:tc>
        <w:tc>
          <w:tcPr>
            <w:tcW w:w="1440" w:type="dxa"/>
            <w:vAlign w:val="center"/>
            <w:hideMark/>
          </w:tcPr>
          <w:p w:rsidR="00E16869" w:rsidRPr="00E16869" w:rsidRDefault="00E16869" w:rsidP="00E16869">
            <w:pPr>
              <w:pStyle w:val="NoSpacing"/>
              <w:jc w:val="center"/>
            </w:pPr>
            <w:r w:rsidRPr="00E16869">
              <w:t>5.001</w:t>
            </w:r>
          </w:p>
        </w:tc>
        <w:tc>
          <w:tcPr>
            <w:tcW w:w="1425" w:type="dxa"/>
            <w:vAlign w:val="center"/>
            <w:hideMark/>
          </w:tcPr>
          <w:p w:rsidR="00E16869" w:rsidRPr="00E16869" w:rsidRDefault="00E16869" w:rsidP="00E16869">
            <w:pPr>
              <w:pStyle w:val="NoSpacing"/>
              <w:jc w:val="center"/>
            </w:pPr>
            <w:r w:rsidRPr="00E16869">
              <w:t>11.128</w:t>
            </w:r>
          </w:p>
        </w:tc>
        <w:tc>
          <w:tcPr>
            <w:tcW w:w="1410" w:type="dxa"/>
            <w:vAlign w:val="center"/>
            <w:hideMark/>
          </w:tcPr>
          <w:p w:rsidR="00E16869" w:rsidRPr="00E16869" w:rsidRDefault="00E16869" w:rsidP="00E16869">
            <w:pPr>
              <w:pStyle w:val="NoSpacing"/>
              <w:jc w:val="center"/>
            </w:pPr>
            <w:r w:rsidRPr="00E16869">
              <w:t>-6.127</w:t>
            </w:r>
          </w:p>
        </w:tc>
        <w:tc>
          <w:tcPr>
            <w:tcW w:w="1425" w:type="dxa"/>
            <w:vAlign w:val="center"/>
            <w:hideMark/>
          </w:tcPr>
          <w:p w:rsidR="00E16869" w:rsidRPr="00E16869" w:rsidRDefault="00E16869" w:rsidP="00E16869">
            <w:pPr>
              <w:pStyle w:val="NoSpacing"/>
              <w:jc w:val="center"/>
            </w:pPr>
            <w:r w:rsidRPr="00E16869">
              <w:t>16.129</w:t>
            </w:r>
          </w:p>
        </w:tc>
      </w:tr>
      <w:tr w:rsidR="00E16869" w:rsidRPr="00E16869" w:rsidTr="00E16869">
        <w:tc>
          <w:tcPr>
            <w:tcW w:w="1275" w:type="dxa"/>
            <w:vAlign w:val="center"/>
            <w:hideMark/>
          </w:tcPr>
          <w:p w:rsidR="00E16869" w:rsidRPr="00E16869" w:rsidRDefault="00E16869" w:rsidP="00E16869">
            <w:pPr>
              <w:pStyle w:val="NoSpacing"/>
              <w:jc w:val="center"/>
            </w:pPr>
            <w:r w:rsidRPr="00E16869">
              <w:t>2009</w:t>
            </w:r>
          </w:p>
        </w:tc>
        <w:tc>
          <w:tcPr>
            <w:tcW w:w="1440" w:type="dxa"/>
            <w:vAlign w:val="center"/>
            <w:hideMark/>
          </w:tcPr>
          <w:p w:rsidR="00E16869" w:rsidRPr="00E16869" w:rsidRDefault="00E16869" w:rsidP="00E16869">
            <w:pPr>
              <w:pStyle w:val="NoSpacing"/>
              <w:jc w:val="center"/>
            </w:pPr>
            <w:r w:rsidRPr="00E16869">
              <w:t>4.463</w:t>
            </w:r>
          </w:p>
        </w:tc>
        <w:tc>
          <w:tcPr>
            <w:tcW w:w="1425" w:type="dxa"/>
            <w:vAlign w:val="center"/>
            <w:hideMark/>
          </w:tcPr>
          <w:p w:rsidR="00E16869" w:rsidRPr="00E16869" w:rsidRDefault="00E16869" w:rsidP="00E16869">
            <w:pPr>
              <w:pStyle w:val="NoSpacing"/>
              <w:jc w:val="center"/>
            </w:pPr>
            <w:r w:rsidRPr="00E16869">
              <w:t>10.202</w:t>
            </w:r>
          </w:p>
        </w:tc>
        <w:tc>
          <w:tcPr>
            <w:tcW w:w="1410" w:type="dxa"/>
            <w:vAlign w:val="center"/>
            <w:hideMark/>
          </w:tcPr>
          <w:p w:rsidR="00E16869" w:rsidRPr="00E16869" w:rsidRDefault="00E16869" w:rsidP="00E16869">
            <w:pPr>
              <w:pStyle w:val="NoSpacing"/>
              <w:jc w:val="center"/>
            </w:pPr>
            <w:r w:rsidRPr="00E16869">
              <w:t>-5.739</w:t>
            </w:r>
          </w:p>
        </w:tc>
        <w:tc>
          <w:tcPr>
            <w:tcW w:w="1425" w:type="dxa"/>
            <w:vAlign w:val="center"/>
            <w:hideMark/>
          </w:tcPr>
          <w:p w:rsidR="00E16869" w:rsidRPr="00E16869" w:rsidRDefault="00E16869" w:rsidP="00E16869">
            <w:pPr>
              <w:pStyle w:val="NoSpacing"/>
              <w:jc w:val="center"/>
            </w:pPr>
            <w:r w:rsidRPr="00E16869">
              <w:t>14.665</w:t>
            </w:r>
          </w:p>
        </w:tc>
      </w:tr>
      <w:tr w:rsidR="00E16869" w:rsidRPr="00E16869" w:rsidTr="00E16869">
        <w:tc>
          <w:tcPr>
            <w:tcW w:w="1275" w:type="dxa"/>
            <w:vAlign w:val="center"/>
            <w:hideMark/>
          </w:tcPr>
          <w:p w:rsidR="00E16869" w:rsidRPr="00E16869" w:rsidRDefault="00E16869" w:rsidP="00E16869">
            <w:pPr>
              <w:pStyle w:val="NoSpacing"/>
              <w:jc w:val="center"/>
            </w:pPr>
            <w:r w:rsidRPr="00E16869">
              <w:t>2010</w:t>
            </w:r>
          </w:p>
        </w:tc>
        <w:tc>
          <w:tcPr>
            <w:tcW w:w="1440" w:type="dxa"/>
            <w:vAlign w:val="center"/>
            <w:hideMark/>
          </w:tcPr>
          <w:p w:rsidR="00E16869" w:rsidRPr="00E16869" w:rsidRDefault="00E16869" w:rsidP="00E16869">
            <w:pPr>
              <w:pStyle w:val="NoSpacing"/>
              <w:jc w:val="center"/>
            </w:pPr>
            <w:r w:rsidRPr="00E16869">
              <w:t>5.169</w:t>
            </w:r>
          </w:p>
        </w:tc>
        <w:tc>
          <w:tcPr>
            <w:tcW w:w="1425" w:type="dxa"/>
            <w:vAlign w:val="center"/>
            <w:hideMark/>
          </w:tcPr>
          <w:p w:rsidR="00E16869" w:rsidRPr="00E16869" w:rsidRDefault="00E16869" w:rsidP="00E16869">
            <w:pPr>
              <w:pStyle w:val="NoSpacing"/>
              <w:jc w:val="center"/>
            </w:pPr>
            <w:r w:rsidRPr="00E16869">
              <w:t>12.093</w:t>
            </w:r>
          </w:p>
        </w:tc>
        <w:tc>
          <w:tcPr>
            <w:tcW w:w="1410" w:type="dxa"/>
            <w:vAlign w:val="center"/>
            <w:hideMark/>
          </w:tcPr>
          <w:p w:rsidR="00E16869" w:rsidRPr="00E16869" w:rsidRDefault="00E16869" w:rsidP="00E16869">
            <w:pPr>
              <w:pStyle w:val="NoSpacing"/>
              <w:jc w:val="center"/>
            </w:pPr>
            <w:r w:rsidRPr="00E16869">
              <w:t>-6.924</w:t>
            </w:r>
          </w:p>
        </w:tc>
        <w:tc>
          <w:tcPr>
            <w:tcW w:w="1425" w:type="dxa"/>
            <w:vAlign w:val="center"/>
            <w:hideMark/>
          </w:tcPr>
          <w:p w:rsidR="00E16869" w:rsidRPr="00E16869" w:rsidRDefault="00E16869" w:rsidP="00E16869">
            <w:pPr>
              <w:pStyle w:val="NoSpacing"/>
              <w:jc w:val="center"/>
            </w:pPr>
            <w:r w:rsidRPr="00E16869">
              <w:t>17.262</w:t>
            </w:r>
          </w:p>
        </w:tc>
      </w:tr>
      <w:tr w:rsidR="00E16869" w:rsidRPr="00E16869" w:rsidTr="00E16869">
        <w:tc>
          <w:tcPr>
            <w:tcW w:w="1275" w:type="dxa"/>
            <w:vAlign w:val="center"/>
            <w:hideMark/>
          </w:tcPr>
          <w:p w:rsidR="00E16869" w:rsidRPr="00E16869" w:rsidRDefault="00E16869" w:rsidP="00E16869">
            <w:pPr>
              <w:pStyle w:val="NoSpacing"/>
              <w:jc w:val="center"/>
            </w:pPr>
            <w:r w:rsidRPr="00E16869">
              <w:t>2011</w:t>
            </w:r>
          </w:p>
        </w:tc>
        <w:tc>
          <w:tcPr>
            <w:tcW w:w="1440" w:type="dxa"/>
            <w:vAlign w:val="center"/>
            <w:hideMark/>
          </w:tcPr>
          <w:p w:rsidR="00E16869" w:rsidRPr="00E16869" w:rsidRDefault="00E16869" w:rsidP="00E16869">
            <w:pPr>
              <w:pStyle w:val="NoSpacing"/>
              <w:jc w:val="center"/>
            </w:pPr>
            <w:r w:rsidRPr="00E16869">
              <w:t>5.853</w:t>
            </w:r>
          </w:p>
        </w:tc>
        <w:tc>
          <w:tcPr>
            <w:tcW w:w="1425" w:type="dxa"/>
            <w:vAlign w:val="center"/>
            <w:hideMark/>
          </w:tcPr>
          <w:p w:rsidR="00E16869" w:rsidRPr="00E16869" w:rsidRDefault="00E16869" w:rsidP="00E16869">
            <w:pPr>
              <w:pStyle w:val="NoSpacing"/>
              <w:jc w:val="center"/>
            </w:pPr>
            <w:r w:rsidRPr="00E16869">
              <w:t>15.028</w:t>
            </w:r>
          </w:p>
        </w:tc>
        <w:tc>
          <w:tcPr>
            <w:tcW w:w="1410" w:type="dxa"/>
            <w:vAlign w:val="center"/>
            <w:hideMark/>
          </w:tcPr>
          <w:p w:rsidR="00E16869" w:rsidRPr="00E16869" w:rsidRDefault="00E16869" w:rsidP="00E16869">
            <w:pPr>
              <w:pStyle w:val="NoSpacing"/>
              <w:jc w:val="center"/>
            </w:pPr>
            <w:r w:rsidRPr="00E16869">
              <w:t>-9.175</w:t>
            </w:r>
          </w:p>
        </w:tc>
        <w:tc>
          <w:tcPr>
            <w:tcW w:w="1425" w:type="dxa"/>
            <w:vAlign w:val="center"/>
            <w:hideMark/>
          </w:tcPr>
          <w:p w:rsidR="00E16869" w:rsidRPr="00E16869" w:rsidRDefault="00E16869" w:rsidP="00E16869">
            <w:pPr>
              <w:pStyle w:val="NoSpacing"/>
              <w:jc w:val="center"/>
            </w:pPr>
            <w:r w:rsidRPr="00E16869">
              <w:t>20.881</w:t>
            </w:r>
          </w:p>
        </w:tc>
      </w:tr>
      <w:tr w:rsidR="00E16869" w:rsidRPr="00E16869" w:rsidTr="00E16869">
        <w:tc>
          <w:tcPr>
            <w:tcW w:w="1275" w:type="dxa"/>
            <w:vAlign w:val="center"/>
            <w:hideMark/>
          </w:tcPr>
          <w:p w:rsidR="00E16869" w:rsidRPr="00E16869" w:rsidRDefault="00E16869" w:rsidP="00E16869">
            <w:pPr>
              <w:pStyle w:val="NoSpacing"/>
              <w:jc w:val="center"/>
            </w:pPr>
            <w:r w:rsidRPr="00E16869">
              <w:t>2012*</w:t>
            </w:r>
          </w:p>
        </w:tc>
        <w:tc>
          <w:tcPr>
            <w:tcW w:w="1440" w:type="dxa"/>
            <w:vAlign w:val="center"/>
            <w:hideMark/>
          </w:tcPr>
          <w:p w:rsidR="00E16869" w:rsidRPr="00E16869" w:rsidRDefault="00E16869" w:rsidP="00E16869">
            <w:pPr>
              <w:pStyle w:val="NoSpacing"/>
              <w:jc w:val="center"/>
            </w:pPr>
            <w:r w:rsidRPr="00E16869">
              <w:t>5.226</w:t>
            </w:r>
          </w:p>
        </w:tc>
        <w:tc>
          <w:tcPr>
            <w:tcW w:w="1425" w:type="dxa"/>
            <w:vAlign w:val="center"/>
            <w:hideMark/>
          </w:tcPr>
          <w:p w:rsidR="00E16869" w:rsidRPr="00E16869" w:rsidRDefault="00E16869" w:rsidP="00E16869">
            <w:pPr>
              <w:pStyle w:val="NoSpacing"/>
              <w:jc w:val="center"/>
            </w:pPr>
            <w:r w:rsidRPr="00E16869">
              <w:t>15.126</w:t>
            </w:r>
          </w:p>
        </w:tc>
        <w:tc>
          <w:tcPr>
            <w:tcW w:w="1410" w:type="dxa"/>
            <w:vAlign w:val="center"/>
            <w:hideMark/>
          </w:tcPr>
          <w:p w:rsidR="00E16869" w:rsidRPr="00E16869" w:rsidRDefault="00E16869" w:rsidP="00E16869">
            <w:pPr>
              <w:pStyle w:val="NoSpacing"/>
              <w:jc w:val="center"/>
            </w:pPr>
            <w:r w:rsidRPr="00E16869">
              <w:t>-9.900</w:t>
            </w:r>
          </w:p>
        </w:tc>
        <w:tc>
          <w:tcPr>
            <w:tcW w:w="1425" w:type="dxa"/>
            <w:vAlign w:val="center"/>
            <w:hideMark/>
          </w:tcPr>
          <w:p w:rsidR="00E16869" w:rsidRPr="00E16869" w:rsidRDefault="00E16869" w:rsidP="00E16869">
            <w:pPr>
              <w:pStyle w:val="NoSpacing"/>
              <w:jc w:val="center"/>
            </w:pPr>
            <w:r w:rsidRPr="00E16869">
              <w:t>20.352</w:t>
            </w:r>
          </w:p>
        </w:tc>
      </w:tr>
      <w:tr w:rsidR="00E16869" w:rsidRPr="00E16869" w:rsidTr="00E16869">
        <w:tc>
          <w:tcPr>
            <w:tcW w:w="1275" w:type="dxa"/>
            <w:vAlign w:val="center"/>
            <w:hideMark/>
          </w:tcPr>
          <w:p w:rsidR="00E16869" w:rsidRPr="00E16869" w:rsidRDefault="00E16869" w:rsidP="00E16869">
            <w:pPr>
              <w:pStyle w:val="NoSpacing"/>
              <w:jc w:val="center"/>
            </w:pPr>
            <w:r w:rsidRPr="00E16869">
              <w:t>2013*</w:t>
            </w:r>
          </w:p>
        </w:tc>
        <w:tc>
          <w:tcPr>
            <w:tcW w:w="1440" w:type="dxa"/>
            <w:vAlign w:val="center"/>
            <w:hideMark/>
          </w:tcPr>
          <w:p w:rsidR="00E16869" w:rsidRPr="00E16869" w:rsidRDefault="00E16869" w:rsidP="00E16869">
            <w:pPr>
              <w:pStyle w:val="NoSpacing"/>
              <w:jc w:val="center"/>
            </w:pPr>
            <w:r w:rsidRPr="00E16869">
              <w:t>5.537</w:t>
            </w:r>
          </w:p>
        </w:tc>
        <w:tc>
          <w:tcPr>
            <w:tcW w:w="1425" w:type="dxa"/>
            <w:vAlign w:val="center"/>
            <w:hideMark/>
          </w:tcPr>
          <w:p w:rsidR="00E16869" w:rsidRPr="00E16869" w:rsidRDefault="00E16869" w:rsidP="00E16869">
            <w:pPr>
              <w:pStyle w:val="NoSpacing"/>
              <w:jc w:val="center"/>
            </w:pPr>
            <w:r w:rsidRPr="00E16869">
              <w:t>16.435</w:t>
            </w:r>
          </w:p>
        </w:tc>
        <w:tc>
          <w:tcPr>
            <w:tcW w:w="1410" w:type="dxa"/>
            <w:vAlign w:val="center"/>
            <w:hideMark/>
          </w:tcPr>
          <w:p w:rsidR="00E16869" w:rsidRPr="00E16869" w:rsidRDefault="00E16869" w:rsidP="00E16869">
            <w:pPr>
              <w:pStyle w:val="NoSpacing"/>
              <w:jc w:val="center"/>
            </w:pPr>
            <w:r w:rsidRPr="00E16869">
              <w:t>-10.898</w:t>
            </w:r>
          </w:p>
        </w:tc>
        <w:tc>
          <w:tcPr>
            <w:tcW w:w="1425" w:type="dxa"/>
            <w:vAlign w:val="center"/>
            <w:hideMark/>
          </w:tcPr>
          <w:p w:rsidR="00E16869" w:rsidRPr="00E16869" w:rsidRDefault="00E16869" w:rsidP="00E16869">
            <w:pPr>
              <w:pStyle w:val="NoSpacing"/>
              <w:jc w:val="center"/>
            </w:pPr>
            <w:r w:rsidRPr="00E16869">
              <w:t>21.972</w:t>
            </w:r>
          </w:p>
        </w:tc>
      </w:tr>
      <w:tr w:rsidR="00E16869" w:rsidRPr="00E16869" w:rsidTr="00E16869">
        <w:tc>
          <w:tcPr>
            <w:tcW w:w="1275" w:type="dxa"/>
            <w:vAlign w:val="center"/>
            <w:hideMark/>
          </w:tcPr>
          <w:p w:rsidR="00E16869" w:rsidRPr="00E16869" w:rsidRDefault="00E16869" w:rsidP="00E16869">
            <w:pPr>
              <w:pStyle w:val="NoSpacing"/>
              <w:jc w:val="center"/>
            </w:pPr>
            <w:r w:rsidRPr="00E16869">
              <w:t>2014*</w:t>
            </w:r>
          </w:p>
        </w:tc>
        <w:tc>
          <w:tcPr>
            <w:tcW w:w="1440" w:type="dxa"/>
            <w:vAlign w:val="center"/>
            <w:hideMark/>
          </w:tcPr>
          <w:p w:rsidR="00E16869" w:rsidRPr="00E16869" w:rsidRDefault="00E16869" w:rsidP="00E16869">
            <w:pPr>
              <w:pStyle w:val="NoSpacing"/>
              <w:jc w:val="center"/>
            </w:pPr>
            <w:r w:rsidRPr="00E16869">
              <w:t>6.111</w:t>
            </w:r>
          </w:p>
        </w:tc>
        <w:tc>
          <w:tcPr>
            <w:tcW w:w="1425" w:type="dxa"/>
            <w:vAlign w:val="center"/>
            <w:hideMark/>
          </w:tcPr>
          <w:p w:rsidR="00E16869" w:rsidRPr="00E16869" w:rsidRDefault="00E16869" w:rsidP="00E16869">
            <w:pPr>
              <w:pStyle w:val="NoSpacing"/>
              <w:jc w:val="center"/>
            </w:pPr>
            <w:r w:rsidRPr="00E16869">
              <w:t>19.685</w:t>
            </w:r>
          </w:p>
        </w:tc>
        <w:tc>
          <w:tcPr>
            <w:tcW w:w="1410" w:type="dxa"/>
            <w:vAlign w:val="center"/>
            <w:hideMark/>
          </w:tcPr>
          <w:p w:rsidR="00E16869" w:rsidRPr="00E16869" w:rsidRDefault="00E16869" w:rsidP="00E16869">
            <w:pPr>
              <w:pStyle w:val="NoSpacing"/>
              <w:jc w:val="center"/>
            </w:pPr>
            <w:r w:rsidRPr="00E16869">
              <w:t>-13.574</w:t>
            </w:r>
          </w:p>
        </w:tc>
        <w:tc>
          <w:tcPr>
            <w:tcW w:w="1425" w:type="dxa"/>
            <w:vAlign w:val="center"/>
            <w:hideMark/>
          </w:tcPr>
          <w:p w:rsidR="00E16869" w:rsidRPr="00E16869" w:rsidRDefault="00E16869" w:rsidP="00E16869">
            <w:pPr>
              <w:pStyle w:val="NoSpacing"/>
              <w:jc w:val="center"/>
            </w:pPr>
            <w:r w:rsidRPr="00E16869">
              <w:t>25.796</w:t>
            </w:r>
          </w:p>
        </w:tc>
      </w:tr>
      <w:tr w:rsidR="00E16869" w:rsidRPr="00E16869" w:rsidTr="00E16869">
        <w:tc>
          <w:tcPr>
            <w:tcW w:w="1275" w:type="dxa"/>
            <w:vAlign w:val="center"/>
            <w:hideMark/>
          </w:tcPr>
          <w:p w:rsidR="00E16869" w:rsidRPr="00E16869" w:rsidRDefault="00E16869" w:rsidP="00E16869">
            <w:pPr>
              <w:pStyle w:val="NoSpacing"/>
              <w:jc w:val="center"/>
            </w:pPr>
            <w:r w:rsidRPr="00E16869">
              <w:t>2015*</w:t>
            </w:r>
          </w:p>
        </w:tc>
        <w:tc>
          <w:tcPr>
            <w:tcW w:w="1440" w:type="dxa"/>
            <w:vAlign w:val="center"/>
            <w:hideMark/>
          </w:tcPr>
          <w:p w:rsidR="00E16869" w:rsidRPr="00E16869" w:rsidRDefault="00E16869" w:rsidP="00E16869">
            <w:pPr>
              <w:pStyle w:val="NoSpacing"/>
              <w:jc w:val="center"/>
            </w:pPr>
            <w:r w:rsidRPr="00E16869">
              <w:t>5.442</w:t>
            </w:r>
          </w:p>
        </w:tc>
        <w:tc>
          <w:tcPr>
            <w:tcW w:w="1425" w:type="dxa"/>
            <w:vAlign w:val="center"/>
            <w:hideMark/>
          </w:tcPr>
          <w:p w:rsidR="00E16869" w:rsidRPr="00E16869" w:rsidRDefault="00E16869" w:rsidP="00E16869">
            <w:pPr>
              <w:pStyle w:val="NoSpacing"/>
              <w:jc w:val="center"/>
            </w:pPr>
            <w:r w:rsidRPr="00E16869">
              <w:t>18.668</w:t>
            </w:r>
          </w:p>
        </w:tc>
        <w:tc>
          <w:tcPr>
            <w:tcW w:w="1410" w:type="dxa"/>
            <w:vAlign w:val="center"/>
            <w:hideMark/>
          </w:tcPr>
          <w:p w:rsidR="00E16869" w:rsidRPr="00E16869" w:rsidRDefault="00E16869" w:rsidP="00E16869">
            <w:pPr>
              <w:pStyle w:val="NoSpacing"/>
              <w:jc w:val="center"/>
            </w:pPr>
            <w:r w:rsidRPr="00E16869">
              <w:t>13.226</w:t>
            </w:r>
          </w:p>
        </w:tc>
        <w:tc>
          <w:tcPr>
            <w:tcW w:w="1425" w:type="dxa"/>
            <w:vAlign w:val="center"/>
            <w:hideMark/>
          </w:tcPr>
          <w:p w:rsidR="00E16869" w:rsidRPr="00E16869" w:rsidRDefault="00E16869" w:rsidP="00E16869">
            <w:pPr>
              <w:pStyle w:val="NoSpacing"/>
              <w:jc w:val="center"/>
            </w:pPr>
            <w:r w:rsidRPr="00E16869">
              <w:t>24.110</w:t>
            </w:r>
          </w:p>
        </w:tc>
      </w:tr>
    </w:tbl>
    <w:p w:rsidR="00E16869" w:rsidRDefault="00E16869" w:rsidP="00E16869">
      <w:pPr>
        <w:pStyle w:val="Quote"/>
        <w:rPr>
          <w:lang w:val="en-US"/>
        </w:rPr>
      </w:pPr>
      <w:r w:rsidRPr="00363AF3">
        <w:rPr>
          <w:lang w:val="en-US"/>
        </w:rPr>
        <w:t>*Yansıtma verilerdir.  Kaynak: ITC Trademap</w:t>
      </w:r>
    </w:p>
    <w:p w:rsidR="00880399" w:rsidRDefault="00880399" w:rsidP="00880399">
      <w:pPr>
        <w:pStyle w:val="Heading1"/>
        <w:rPr>
          <w:lang w:val="en-US"/>
        </w:rPr>
      </w:pPr>
      <w:bookmarkStart w:id="19" w:name="_Toc491348172"/>
      <w:r>
        <w:rPr>
          <w:lang w:val="en-US"/>
        </w:rPr>
        <w:t>İTHALAT</w:t>
      </w:r>
      <w:bookmarkEnd w:id="19"/>
    </w:p>
    <w:p w:rsidR="00880399" w:rsidRPr="00880399" w:rsidRDefault="00880399" w:rsidP="00880399">
      <w:pPr>
        <w:rPr>
          <w:lang w:val="en-US"/>
        </w:rPr>
      </w:pPr>
      <w:r w:rsidRPr="00880399">
        <w:t>Kenya'nın ithalatında ilk üç sırada Çin, Hindistan ve ABD yer almakta; bu ülkeleri Japonya, Tanzanya, Güney Afrika Cumhuriyeti ve İngiltere izlemektedir.</w:t>
      </w:r>
    </w:p>
    <w:p w:rsidR="00A17E9E" w:rsidRDefault="00A17E9E" w:rsidP="00A17E9E">
      <w:pPr>
        <w:pStyle w:val="Heading2"/>
      </w:pPr>
      <w:bookmarkStart w:id="20" w:name="_Toc491348173"/>
      <w:r>
        <w:t>İthalat</w:t>
      </w:r>
      <w:r w:rsidRPr="00251235">
        <w:t xml:space="preserve"> yaptığı başlıca ülkeler (1000$)</w:t>
      </w:r>
      <w:bookmarkEnd w:id="20"/>
      <w:r>
        <w:t xml:space="preserve"> </w:t>
      </w:r>
    </w:p>
    <w:tbl>
      <w:tblPr>
        <w:tblStyle w:val="TableGrid"/>
        <w:tblW w:w="0" w:type="auto"/>
        <w:tblInd w:w="108" w:type="dxa"/>
        <w:tblLook w:val="04A0" w:firstRow="1" w:lastRow="0" w:firstColumn="1" w:lastColumn="0" w:noHBand="0" w:noVBand="1"/>
      </w:tblPr>
      <w:tblGrid>
        <w:gridCol w:w="637"/>
        <w:gridCol w:w="1796"/>
        <w:gridCol w:w="1511"/>
        <w:gridCol w:w="1511"/>
        <w:gridCol w:w="1511"/>
      </w:tblGrid>
      <w:tr w:rsidR="00880399" w:rsidRPr="000C78A7" w:rsidTr="00880399">
        <w:trPr>
          <w:trHeight w:val="251"/>
        </w:trPr>
        <w:tc>
          <w:tcPr>
            <w:tcW w:w="637" w:type="dxa"/>
            <w:vAlign w:val="center"/>
          </w:tcPr>
          <w:p w:rsidR="00880399" w:rsidRPr="000C78A7" w:rsidRDefault="00880399" w:rsidP="000C78A7">
            <w:pPr>
              <w:jc w:val="center"/>
              <w:rPr>
                <w:b/>
              </w:rPr>
            </w:pPr>
            <w:r w:rsidRPr="000C78A7">
              <w:rPr>
                <w:b/>
              </w:rPr>
              <w:t>SIRA</w:t>
            </w:r>
          </w:p>
        </w:tc>
        <w:tc>
          <w:tcPr>
            <w:tcW w:w="1796" w:type="dxa"/>
            <w:vAlign w:val="center"/>
          </w:tcPr>
          <w:p w:rsidR="00880399" w:rsidRPr="000C78A7" w:rsidRDefault="00880399" w:rsidP="000C78A7">
            <w:pPr>
              <w:rPr>
                <w:b/>
              </w:rPr>
            </w:pPr>
            <w:r w:rsidRPr="000C78A7">
              <w:rPr>
                <w:b/>
              </w:rPr>
              <w:t>ÜLKE</w:t>
            </w:r>
          </w:p>
        </w:tc>
        <w:tc>
          <w:tcPr>
            <w:tcW w:w="1511" w:type="dxa"/>
            <w:vAlign w:val="center"/>
          </w:tcPr>
          <w:p w:rsidR="00880399" w:rsidRPr="000C78A7" w:rsidRDefault="00880399" w:rsidP="000C78A7">
            <w:pPr>
              <w:jc w:val="center"/>
              <w:rPr>
                <w:b/>
              </w:rPr>
            </w:pPr>
            <w:r>
              <w:rPr>
                <w:b/>
              </w:rPr>
              <w:t>2013</w:t>
            </w:r>
          </w:p>
        </w:tc>
        <w:tc>
          <w:tcPr>
            <w:tcW w:w="1511" w:type="dxa"/>
            <w:vAlign w:val="center"/>
          </w:tcPr>
          <w:p w:rsidR="00880399" w:rsidRPr="000C78A7" w:rsidRDefault="00880399" w:rsidP="000C78A7">
            <w:pPr>
              <w:jc w:val="center"/>
              <w:rPr>
                <w:b/>
              </w:rPr>
            </w:pPr>
            <w:r>
              <w:rPr>
                <w:b/>
              </w:rPr>
              <w:t>2014</w:t>
            </w:r>
          </w:p>
        </w:tc>
        <w:tc>
          <w:tcPr>
            <w:tcW w:w="1511" w:type="dxa"/>
            <w:vAlign w:val="center"/>
          </w:tcPr>
          <w:p w:rsidR="00880399" w:rsidRPr="000C78A7" w:rsidRDefault="00880399" w:rsidP="000C78A7">
            <w:pPr>
              <w:jc w:val="center"/>
              <w:rPr>
                <w:b/>
              </w:rPr>
            </w:pPr>
            <w:r>
              <w:rPr>
                <w:b/>
              </w:rPr>
              <w:t>2015</w:t>
            </w:r>
          </w:p>
        </w:tc>
      </w:tr>
      <w:tr w:rsidR="00880399" w:rsidRPr="000C78A7" w:rsidTr="00880399">
        <w:trPr>
          <w:trHeight w:val="251"/>
        </w:trPr>
        <w:tc>
          <w:tcPr>
            <w:tcW w:w="637" w:type="dxa"/>
            <w:vAlign w:val="center"/>
          </w:tcPr>
          <w:p w:rsidR="00880399" w:rsidRPr="000C78A7" w:rsidRDefault="00880399" w:rsidP="000C78A7">
            <w:pPr>
              <w:jc w:val="center"/>
              <w:rPr>
                <w:b/>
              </w:rPr>
            </w:pPr>
          </w:p>
        </w:tc>
        <w:tc>
          <w:tcPr>
            <w:tcW w:w="1796" w:type="dxa"/>
            <w:vAlign w:val="center"/>
          </w:tcPr>
          <w:p w:rsidR="00880399" w:rsidRPr="000C78A7" w:rsidRDefault="00880399" w:rsidP="000C78A7">
            <w:pPr>
              <w:rPr>
                <w:b/>
              </w:rPr>
            </w:pPr>
            <w:r>
              <w:rPr>
                <w:b/>
              </w:rPr>
              <w:t>TOPLAM</w:t>
            </w:r>
          </w:p>
        </w:tc>
        <w:tc>
          <w:tcPr>
            <w:tcW w:w="1511" w:type="dxa"/>
            <w:vAlign w:val="center"/>
          </w:tcPr>
          <w:p w:rsidR="00880399" w:rsidRPr="000C78A7" w:rsidRDefault="00880399" w:rsidP="000C78A7">
            <w:pPr>
              <w:jc w:val="center"/>
              <w:rPr>
                <w:b/>
              </w:rPr>
            </w:pPr>
            <w:r>
              <w:rPr>
                <w:b/>
              </w:rPr>
              <w:t>17.561.169</w:t>
            </w:r>
          </w:p>
        </w:tc>
        <w:tc>
          <w:tcPr>
            <w:tcW w:w="1511" w:type="dxa"/>
            <w:vAlign w:val="center"/>
          </w:tcPr>
          <w:p w:rsidR="00880399" w:rsidRPr="000C78A7" w:rsidRDefault="00880399" w:rsidP="000C78A7">
            <w:pPr>
              <w:jc w:val="center"/>
              <w:rPr>
                <w:b/>
              </w:rPr>
            </w:pPr>
            <w:r>
              <w:rPr>
                <w:b/>
              </w:rPr>
              <w:t>21.379.850</w:t>
            </w:r>
          </w:p>
        </w:tc>
        <w:tc>
          <w:tcPr>
            <w:tcW w:w="1511" w:type="dxa"/>
            <w:vAlign w:val="center"/>
          </w:tcPr>
          <w:p w:rsidR="00880399" w:rsidRPr="000C78A7" w:rsidRDefault="00880399" w:rsidP="000C78A7">
            <w:pPr>
              <w:jc w:val="center"/>
              <w:rPr>
                <w:b/>
              </w:rPr>
            </w:pPr>
            <w:r>
              <w:rPr>
                <w:b/>
              </w:rPr>
              <w:t>18.668.918</w:t>
            </w:r>
          </w:p>
        </w:tc>
      </w:tr>
      <w:tr w:rsidR="00880399" w:rsidRPr="000C78A7" w:rsidTr="00880399">
        <w:trPr>
          <w:trHeight w:val="268"/>
        </w:trPr>
        <w:tc>
          <w:tcPr>
            <w:tcW w:w="637" w:type="dxa"/>
            <w:vAlign w:val="center"/>
          </w:tcPr>
          <w:p w:rsidR="00880399" w:rsidRPr="000C78A7" w:rsidRDefault="00880399" w:rsidP="000C78A7">
            <w:pPr>
              <w:jc w:val="center"/>
              <w:rPr>
                <w:b/>
              </w:rPr>
            </w:pPr>
            <w:r w:rsidRPr="000C78A7">
              <w:rPr>
                <w:b/>
              </w:rPr>
              <w:t>1</w:t>
            </w:r>
          </w:p>
        </w:tc>
        <w:tc>
          <w:tcPr>
            <w:tcW w:w="1796" w:type="dxa"/>
            <w:vAlign w:val="center"/>
          </w:tcPr>
          <w:p w:rsidR="00880399" w:rsidRPr="00880399" w:rsidRDefault="00880399" w:rsidP="00880399">
            <w:pPr>
              <w:pStyle w:val="NormalWeb"/>
              <w:spacing w:before="0" w:beforeAutospacing="0" w:after="150" w:afterAutospacing="0" w:line="300" w:lineRule="atLeast"/>
              <w:jc w:val="center"/>
              <w:rPr>
                <w:rFonts w:ascii="Calibri" w:hAnsi="Calibri" w:cs="Calibri"/>
                <w:sz w:val="22"/>
                <w:szCs w:val="20"/>
              </w:rPr>
            </w:pPr>
            <w:r w:rsidRPr="00880399">
              <w:rPr>
                <w:rFonts w:ascii="Calibri" w:hAnsi="Calibri" w:cs="Calibri"/>
                <w:sz w:val="22"/>
                <w:szCs w:val="20"/>
              </w:rPr>
              <w:t>Çin</w:t>
            </w:r>
          </w:p>
        </w:tc>
        <w:tc>
          <w:tcPr>
            <w:tcW w:w="1511" w:type="dxa"/>
            <w:vAlign w:val="center"/>
          </w:tcPr>
          <w:p w:rsidR="00880399" w:rsidRPr="00880399" w:rsidRDefault="00880399" w:rsidP="00880399">
            <w:pPr>
              <w:pStyle w:val="NormalWeb"/>
              <w:spacing w:before="0" w:beforeAutospacing="0" w:after="150" w:afterAutospacing="0" w:line="300" w:lineRule="atLeast"/>
              <w:jc w:val="center"/>
              <w:rPr>
                <w:rFonts w:ascii="Calibri" w:hAnsi="Calibri" w:cs="Calibri"/>
                <w:sz w:val="22"/>
                <w:szCs w:val="20"/>
              </w:rPr>
            </w:pPr>
            <w:r w:rsidRPr="00880399">
              <w:rPr>
                <w:rFonts w:ascii="Calibri" w:hAnsi="Calibri" w:cs="Calibri"/>
                <w:sz w:val="22"/>
                <w:szCs w:val="20"/>
              </w:rPr>
              <w:t>3,217,481</w:t>
            </w:r>
          </w:p>
        </w:tc>
        <w:tc>
          <w:tcPr>
            <w:tcW w:w="1511" w:type="dxa"/>
            <w:vAlign w:val="center"/>
          </w:tcPr>
          <w:p w:rsidR="00880399" w:rsidRPr="00880399" w:rsidRDefault="00880399" w:rsidP="00880399">
            <w:pPr>
              <w:pStyle w:val="NormalWeb"/>
              <w:spacing w:before="0" w:beforeAutospacing="0" w:after="150" w:afterAutospacing="0" w:line="300" w:lineRule="atLeast"/>
              <w:jc w:val="center"/>
              <w:rPr>
                <w:rFonts w:ascii="Calibri" w:hAnsi="Calibri" w:cs="Calibri"/>
                <w:sz w:val="22"/>
                <w:szCs w:val="20"/>
              </w:rPr>
            </w:pPr>
            <w:r w:rsidRPr="00880399">
              <w:rPr>
                <w:rFonts w:ascii="Calibri" w:hAnsi="Calibri" w:cs="Calibri"/>
                <w:sz w:val="22"/>
                <w:szCs w:val="20"/>
              </w:rPr>
              <w:t>4,930,569</w:t>
            </w:r>
          </w:p>
        </w:tc>
        <w:tc>
          <w:tcPr>
            <w:tcW w:w="1511" w:type="dxa"/>
            <w:vAlign w:val="center"/>
          </w:tcPr>
          <w:p w:rsidR="00880399" w:rsidRPr="00880399" w:rsidRDefault="00880399" w:rsidP="00880399">
            <w:pPr>
              <w:pStyle w:val="NormalWeb"/>
              <w:spacing w:before="0" w:beforeAutospacing="0" w:after="150" w:afterAutospacing="0" w:line="300" w:lineRule="atLeast"/>
              <w:jc w:val="center"/>
              <w:rPr>
                <w:rFonts w:ascii="Calibri" w:hAnsi="Calibri" w:cs="Calibri"/>
                <w:sz w:val="22"/>
                <w:szCs w:val="20"/>
              </w:rPr>
            </w:pPr>
            <w:r w:rsidRPr="00880399">
              <w:rPr>
                <w:rFonts w:ascii="Calibri" w:hAnsi="Calibri" w:cs="Calibri"/>
                <w:sz w:val="22"/>
                <w:szCs w:val="20"/>
              </w:rPr>
              <w:t>5,918,049</w:t>
            </w:r>
          </w:p>
        </w:tc>
      </w:tr>
      <w:tr w:rsidR="00880399" w:rsidRPr="000C78A7" w:rsidTr="00880399">
        <w:trPr>
          <w:trHeight w:val="251"/>
        </w:trPr>
        <w:tc>
          <w:tcPr>
            <w:tcW w:w="637" w:type="dxa"/>
            <w:vAlign w:val="center"/>
          </w:tcPr>
          <w:p w:rsidR="00880399" w:rsidRPr="000C78A7" w:rsidRDefault="00880399" w:rsidP="000C78A7">
            <w:pPr>
              <w:jc w:val="center"/>
              <w:rPr>
                <w:b/>
              </w:rPr>
            </w:pPr>
            <w:r w:rsidRPr="000C78A7">
              <w:rPr>
                <w:b/>
              </w:rPr>
              <w:t>2</w:t>
            </w:r>
          </w:p>
        </w:tc>
        <w:tc>
          <w:tcPr>
            <w:tcW w:w="1796" w:type="dxa"/>
            <w:vAlign w:val="center"/>
          </w:tcPr>
          <w:p w:rsidR="00880399" w:rsidRPr="00880399" w:rsidRDefault="00880399" w:rsidP="00880399">
            <w:pPr>
              <w:pStyle w:val="NormalWeb"/>
              <w:spacing w:before="0" w:beforeAutospacing="0" w:after="150" w:afterAutospacing="0" w:line="300" w:lineRule="atLeast"/>
              <w:jc w:val="center"/>
              <w:rPr>
                <w:rFonts w:ascii="Calibri" w:hAnsi="Calibri" w:cs="Calibri"/>
                <w:sz w:val="22"/>
                <w:szCs w:val="20"/>
              </w:rPr>
            </w:pPr>
            <w:r w:rsidRPr="00880399">
              <w:rPr>
                <w:rFonts w:ascii="Calibri" w:hAnsi="Calibri" w:cs="Calibri"/>
                <w:sz w:val="22"/>
                <w:szCs w:val="20"/>
              </w:rPr>
              <w:t>Hindistan</w:t>
            </w:r>
          </w:p>
        </w:tc>
        <w:tc>
          <w:tcPr>
            <w:tcW w:w="1511" w:type="dxa"/>
            <w:vAlign w:val="center"/>
          </w:tcPr>
          <w:p w:rsidR="00880399" w:rsidRPr="00880399" w:rsidRDefault="00880399" w:rsidP="00880399">
            <w:pPr>
              <w:pStyle w:val="NormalWeb"/>
              <w:spacing w:before="0" w:beforeAutospacing="0" w:after="150" w:afterAutospacing="0" w:line="300" w:lineRule="atLeast"/>
              <w:jc w:val="center"/>
              <w:rPr>
                <w:rFonts w:ascii="Calibri" w:hAnsi="Calibri" w:cs="Calibri"/>
                <w:sz w:val="22"/>
                <w:szCs w:val="20"/>
              </w:rPr>
            </w:pPr>
            <w:r w:rsidRPr="00880399">
              <w:rPr>
                <w:rFonts w:ascii="Calibri" w:hAnsi="Calibri" w:cs="Calibri"/>
                <w:sz w:val="22"/>
                <w:szCs w:val="20"/>
              </w:rPr>
              <w:t>3,938,382</w:t>
            </w:r>
          </w:p>
        </w:tc>
        <w:tc>
          <w:tcPr>
            <w:tcW w:w="1511" w:type="dxa"/>
            <w:vAlign w:val="center"/>
          </w:tcPr>
          <w:p w:rsidR="00880399" w:rsidRPr="00880399" w:rsidRDefault="00880399" w:rsidP="00880399">
            <w:pPr>
              <w:pStyle w:val="NormalWeb"/>
              <w:spacing w:before="0" w:beforeAutospacing="0" w:after="150" w:afterAutospacing="0" w:line="300" w:lineRule="atLeast"/>
              <w:jc w:val="center"/>
              <w:rPr>
                <w:rFonts w:ascii="Calibri" w:hAnsi="Calibri" w:cs="Calibri"/>
                <w:sz w:val="22"/>
                <w:szCs w:val="20"/>
              </w:rPr>
            </w:pPr>
            <w:r w:rsidRPr="00880399">
              <w:rPr>
                <w:rFonts w:ascii="Calibri" w:hAnsi="Calibri" w:cs="Calibri"/>
                <w:sz w:val="22"/>
                <w:szCs w:val="20"/>
              </w:rPr>
              <w:t>4,405,448</w:t>
            </w:r>
          </w:p>
        </w:tc>
        <w:tc>
          <w:tcPr>
            <w:tcW w:w="1511" w:type="dxa"/>
            <w:vAlign w:val="center"/>
          </w:tcPr>
          <w:p w:rsidR="00880399" w:rsidRPr="00880399" w:rsidRDefault="00880399" w:rsidP="00880399">
            <w:pPr>
              <w:pStyle w:val="NormalWeb"/>
              <w:spacing w:before="0" w:beforeAutospacing="0" w:after="150" w:afterAutospacing="0" w:line="300" w:lineRule="atLeast"/>
              <w:jc w:val="center"/>
              <w:rPr>
                <w:rFonts w:ascii="Calibri" w:hAnsi="Calibri" w:cs="Calibri"/>
                <w:sz w:val="22"/>
                <w:szCs w:val="20"/>
              </w:rPr>
            </w:pPr>
            <w:r w:rsidRPr="00880399">
              <w:rPr>
                <w:rFonts w:ascii="Calibri" w:hAnsi="Calibri" w:cs="Calibri"/>
                <w:sz w:val="22"/>
                <w:szCs w:val="20"/>
              </w:rPr>
              <w:t>3,183,932</w:t>
            </w:r>
          </w:p>
        </w:tc>
      </w:tr>
      <w:tr w:rsidR="00880399" w:rsidRPr="000C78A7" w:rsidTr="00880399">
        <w:trPr>
          <w:trHeight w:val="268"/>
        </w:trPr>
        <w:tc>
          <w:tcPr>
            <w:tcW w:w="637" w:type="dxa"/>
            <w:vAlign w:val="center"/>
          </w:tcPr>
          <w:p w:rsidR="00880399" w:rsidRPr="000C78A7" w:rsidRDefault="00880399" w:rsidP="000C78A7">
            <w:pPr>
              <w:jc w:val="center"/>
              <w:rPr>
                <w:b/>
              </w:rPr>
            </w:pPr>
            <w:r w:rsidRPr="000C78A7">
              <w:rPr>
                <w:b/>
              </w:rPr>
              <w:t>3</w:t>
            </w:r>
          </w:p>
        </w:tc>
        <w:tc>
          <w:tcPr>
            <w:tcW w:w="1796" w:type="dxa"/>
            <w:vAlign w:val="center"/>
          </w:tcPr>
          <w:p w:rsidR="00880399" w:rsidRPr="00880399" w:rsidRDefault="00880399" w:rsidP="00880399">
            <w:pPr>
              <w:pStyle w:val="NormalWeb"/>
              <w:spacing w:before="0" w:beforeAutospacing="0" w:after="150" w:afterAutospacing="0" w:line="300" w:lineRule="atLeast"/>
              <w:jc w:val="center"/>
              <w:rPr>
                <w:rFonts w:ascii="Calibri" w:hAnsi="Calibri" w:cs="Calibri"/>
                <w:sz w:val="22"/>
                <w:szCs w:val="20"/>
              </w:rPr>
            </w:pPr>
            <w:r w:rsidRPr="00880399">
              <w:rPr>
                <w:rFonts w:ascii="Calibri" w:hAnsi="Calibri" w:cs="Calibri"/>
                <w:sz w:val="22"/>
                <w:szCs w:val="20"/>
              </w:rPr>
              <w:t>A.B.D.</w:t>
            </w:r>
          </w:p>
        </w:tc>
        <w:tc>
          <w:tcPr>
            <w:tcW w:w="1511" w:type="dxa"/>
            <w:vAlign w:val="center"/>
          </w:tcPr>
          <w:p w:rsidR="00880399" w:rsidRPr="00880399" w:rsidRDefault="00880399" w:rsidP="00880399">
            <w:pPr>
              <w:pStyle w:val="NormalWeb"/>
              <w:spacing w:before="0" w:beforeAutospacing="0" w:after="150" w:afterAutospacing="0" w:line="300" w:lineRule="atLeast"/>
              <w:jc w:val="center"/>
              <w:rPr>
                <w:rFonts w:ascii="Calibri" w:hAnsi="Calibri" w:cs="Calibri"/>
                <w:sz w:val="22"/>
                <w:szCs w:val="20"/>
              </w:rPr>
            </w:pPr>
            <w:r w:rsidRPr="00880399">
              <w:rPr>
                <w:rFonts w:ascii="Calibri" w:hAnsi="Calibri" w:cs="Calibri"/>
                <w:sz w:val="22"/>
                <w:szCs w:val="20"/>
              </w:rPr>
              <w:t>635,689</w:t>
            </w:r>
          </w:p>
        </w:tc>
        <w:tc>
          <w:tcPr>
            <w:tcW w:w="1511" w:type="dxa"/>
            <w:vAlign w:val="center"/>
          </w:tcPr>
          <w:p w:rsidR="00880399" w:rsidRPr="00880399" w:rsidRDefault="00880399" w:rsidP="00880399">
            <w:pPr>
              <w:pStyle w:val="NormalWeb"/>
              <w:spacing w:before="0" w:beforeAutospacing="0" w:after="150" w:afterAutospacing="0" w:line="300" w:lineRule="atLeast"/>
              <w:jc w:val="center"/>
              <w:rPr>
                <w:rFonts w:ascii="Calibri" w:hAnsi="Calibri" w:cs="Calibri"/>
                <w:sz w:val="22"/>
                <w:szCs w:val="20"/>
              </w:rPr>
            </w:pPr>
            <w:r w:rsidRPr="00880399">
              <w:rPr>
                <w:rFonts w:ascii="Calibri" w:hAnsi="Calibri" w:cs="Calibri"/>
                <w:sz w:val="22"/>
                <w:szCs w:val="20"/>
              </w:rPr>
              <w:t>1,640,899</w:t>
            </w:r>
          </w:p>
        </w:tc>
        <w:tc>
          <w:tcPr>
            <w:tcW w:w="1511" w:type="dxa"/>
            <w:vAlign w:val="center"/>
          </w:tcPr>
          <w:p w:rsidR="00880399" w:rsidRPr="00880399" w:rsidRDefault="00880399" w:rsidP="00880399">
            <w:pPr>
              <w:pStyle w:val="NormalWeb"/>
              <w:spacing w:before="0" w:beforeAutospacing="0" w:after="150" w:afterAutospacing="0" w:line="300" w:lineRule="atLeast"/>
              <w:jc w:val="center"/>
              <w:rPr>
                <w:rFonts w:ascii="Calibri" w:hAnsi="Calibri" w:cs="Calibri"/>
                <w:sz w:val="22"/>
                <w:szCs w:val="20"/>
              </w:rPr>
            </w:pPr>
            <w:r w:rsidRPr="00880399">
              <w:rPr>
                <w:rFonts w:ascii="Calibri" w:hAnsi="Calibri" w:cs="Calibri"/>
                <w:sz w:val="22"/>
                <w:szCs w:val="20"/>
              </w:rPr>
              <w:t>936,761</w:t>
            </w:r>
          </w:p>
        </w:tc>
      </w:tr>
      <w:tr w:rsidR="00880399" w:rsidRPr="000C78A7" w:rsidTr="00880399">
        <w:trPr>
          <w:trHeight w:val="251"/>
        </w:trPr>
        <w:tc>
          <w:tcPr>
            <w:tcW w:w="637" w:type="dxa"/>
            <w:vAlign w:val="center"/>
          </w:tcPr>
          <w:p w:rsidR="00880399" w:rsidRPr="000C78A7" w:rsidRDefault="00880399" w:rsidP="000C78A7">
            <w:pPr>
              <w:jc w:val="center"/>
              <w:rPr>
                <w:b/>
              </w:rPr>
            </w:pPr>
            <w:r w:rsidRPr="000C78A7">
              <w:rPr>
                <w:b/>
              </w:rPr>
              <w:t>4</w:t>
            </w:r>
          </w:p>
        </w:tc>
        <w:tc>
          <w:tcPr>
            <w:tcW w:w="1796" w:type="dxa"/>
            <w:vAlign w:val="center"/>
          </w:tcPr>
          <w:p w:rsidR="00880399" w:rsidRPr="00880399" w:rsidRDefault="00880399" w:rsidP="00880399">
            <w:pPr>
              <w:pStyle w:val="NormalWeb"/>
              <w:spacing w:before="0" w:beforeAutospacing="0" w:after="150" w:afterAutospacing="0" w:line="300" w:lineRule="atLeast"/>
              <w:jc w:val="center"/>
              <w:rPr>
                <w:rFonts w:ascii="Calibri" w:hAnsi="Calibri" w:cs="Calibri"/>
                <w:sz w:val="22"/>
                <w:szCs w:val="20"/>
              </w:rPr>
            </w:pPr>
            <w:r w:rsidRPr="00880399">
              <w:rPr>
                <w:rFonts w:ascii="Calibri" w:hAnsi="Calibri" w:cs="Calibri"/>
                <w:sz w:val="22"/>
                <w:szCs w:val="20"/>
              </w:rPr>
              <w:t>Japonya</w:t>
            </w:r>
          </w:p>
        </w:tc>
        <w:tc>
          <w:tcPr>
            <w:tcW w:w="1511" w:type="dxa"/>
            <w:vAlign w:val="center"/>
          </w:tcPr>
          <w:p w:rsidR="00880399" w:rsidRPr="00880399" w:rsidRDefault="00880399" w:rsidP="00880399">
            <w:pPr>
              <w:pStyle w:val="NormalWeb"/>
              <w:spacing w:before="0" w:beforeAutospacing="0" w:after="150" w:afterAutospacing="0" w:line="300" w:lineRule="atLeast"/>
              <w:jc w:val="center"/>
              <w:rPr>
                <w:rFonts w:ascii="Calibri" w:hAnsi="Calibri" w:cs="Calibri"/>
                <w:sz w:val="22"/>
                <w:szCs w:val="20"/>
              </w:rPr>
            </w:pPr>
            <w:r w:rsidRPr="00880399">
              <w:rPr>
                <w:rFonts w:ascii="Calibri" w:hAnsi="Calibri" w:cs="Calibri"/>
                <w:sz w:val="22"/>
                <w:szCs w:val="20"/>
              </w:rPr>
              <w:t>914,188</w:t>
            </w:r>
          </w:p>
        </w:tc>
        <w:tc>
          <w:tcPr>
            <w:tcW w:w="1511" w:type="dxa"/>
            <w:vAlign w:val="center"/>
          </w:tcPr>
          <w:p w:rsidR="00880399" w:rsidRPr="00880399" w:rsidRDefault="00880399" w:rsidP="00880399">
            <w:pPr>
              <w:pStyle w:val="NormalWeb"/>
              <w:spacing w:before="0" w:beforeAutospacing="0" w:after="150" w:afterAutospacing="0" w:line="300" w:lineRule="atLeast"/>
              <w:jc w:val="center"/>
              <w:rPr>
                <w:rFonts w:ascii="Calibri" w:hAnsi="Calibri" w:cs="Calibri"/>
                <w:sz w:val="22"/>
                <w:szCs w:val="20"/>
              </w:rPr>
            </w:pPr>
            <w:r w:rsidRPr="00880399">
              <w:rPr>
                <w:rFonts w:ascii="Calibri" w:hAnsi="Calibri" w:cs="Calibri"/>
                <w:sz w:val="22"/>
                <w:szCs w:val="20"/>
              </w:rPr>
              <w:t>953,460</w:t>
            </w:r>
          </w:p>
        </w:tc>
        <w:tc>
          <w:tcPr>
            <w:tcW w:w="1511" w:type="dxa"/>
            <w:vAlign w:val="center"/>
          </w:tcPr>
          <w:p w:rsidR="00880399" w:rsidRPr="00880399" w:rsidRDefault="00880399" w:rsidP="00880399">
            <w:pPr>
              <w:pStyle w:val="NormalWeb"/>
              <w:spacing w:before="0" w:beforeAutospacing="0" w:after="150" w:afterAutospacing="0" w:line="300" w:lineRule="atLeast"/>
              <w:jc w:val="center"/>
              <w:rPr>
                <w:rFonts w:ascii="Calibri" w:hAnsi="Calibri" w:cs="Calibri"/>
                <w:sz w:val="22"/>
                <w:szCs w:val="20"/>
              </w:rPr>
            </w:pPr>
            <w:r w:rsidRPr="00880399">
              <w:rPr>
                <w:rFonts w:ascii="Calibri" w:hAnsi="Calibri" w:cs="Calibri"/>
                <w:sz w:val="22"/>
                <w:szCs w:val="20"/>
              </w:rPr>
              <w:t>926,263</w:t>
            </w:r>
          </w:p>
        </w:tc>
      </w:tr>
      <w:tr w:rsidR="00880399" w:rsidRPr="000C78A7" w:rsidTr="00880399">
        <w:trPr>
          <w:trHeight w:val="251"/>
        </w:trPr>
        <w:tc>
          <w:tcPr>
            <w:tcW w:w="637" w:type="dxa"/>
            <w:vAlign w:val="center"/>
          </w:tcPr>
          <w:p w:rsidR="00880399" w:rsidRPr="000C78A7" w:rsidRDefault="00880399" w:rsidP="000C78A7">
            <w:pPr>
              <w:jc w:val="center"/>
              <w:rPr>
                <w:b/>
              </w:rPr>
            </w:pPr>
            <w:r w:rsidRPr="000C78A7">
              <w:rPr>
                <w:b/>
              </w:rPr>
              <w:t>5</w:t>
            </w:r>
          </w:p>
        </w:tc>
        <w:tc>
          <w:tcPr>
            <w:tcW w:w="1796" w:type="dxa"/>
            <w:vAlign w:val="center"/>
          </w:tcPr>
          <w:p w:rsidR="00880399" w:rsidRPr="00880399" w:rsidRDefault="00880399" w:rsidP="00880399">
            <w:pPr>
              <w:pStyle w:val="NormalWeb"/>
              <w:spacing w:before="0" w:beforeAutospacing="0" w:after="150" w:afterAutospacing="0" w:line="300" w:lineRule="atLeast"/>
              <w:jc w:val="center"/>
              <w:rPr>
                <w:rFonts w:ascii="Calibri" w:hAnsi="Calibri" w:cs="Calibri"/>
                <w:sz w:val="22"/>
                <w:szCs w:val="20"/>
              </w:rPr>
            </w:pPr>
            <w:r w:rsidRPr="00880399">
              <w:rPr>
                <w:rFonts w:ascii="Calibri" w:hAnsi="Calibri" w:cs="Calibri"/>
                <w:sz w:val="22"/>
                <w:szCs w:val="20"/>
              </w:rPr>
              <w:t>Tanzanya</w:t>
            </w:r>
          </w:p>
        </w:tc>
        <w:tc>
          <w:tcPr>
            <w:tcW w:w="1511" w:type="dxa"/>
            <w:vAlign w:val="center"/>
          </w:tcPr>
          <w:p w:rsidR="00880399" w:rsidRPr="00880399" w:rsidRDefault="00880399" w:rsidP="00880399">
            <w:pPr>
              <w:pStyle w:val="NormalWeb"/>
              <w:spacing w:before="0" w:beforeAutospacing="0" w:after="150" w:afterAutospacing="0" w:line="300" w:lineRule="atLeast"/>
              <w:jc w:val="center"/>
              <w:rPr>
                <w:rFonts w:ascii="Calibri" w:hAnsi="Calibri" w:cs="Calibri"/>
                <w:sz w:val="22"/>
                <w:szCs w:val="20"/>
              </w:rPr>
            </w:pPr>
            <w:r w:rsidRPr="00880399">
              <w:rPr>
                <w:rFonts w:ascii="Calibri" w:hAnsi="Calibri" w:cs="Calibri"/>
                <w:sz w:val="22"/>
                <w:szCs w:val="20"/>
              </w:rPr>
              <w:t>228,412</w:t>
            </w:r>
          </w:p>
        </w:tc>
        <w:tc>
          <w:tcPr>
            <w:tcW w:w="1511" w:type="dxa"/>
            <w:vAlign w:val="center"/>
          </w:tcPr>
          <w:p w:rsidR="00880399" w:rsidRPr="00880399" w:rsidRDefault="00880399" w:rsidP="00880399">
            <w:pPr>
              <w:pStyle w:val="NormalWeb"/>
              <w:spacing w:before="0" w:beforeAutospacing="0" w:after="150" w:afterAutospacing="0" w:line="300" w:lineRule="atLeast"/>
              <w:jc w:val="center"/>
              <w:rPr>
                <w:rFonts w:ascii="Calibri" w:hAnsi="Calibri" w:cs="Calibri"/>
                <w:sz w:val="22"/>
                <w:szCs w:val="20"/>
              </w:rPr>
            </w:pPr>
            <w:r w:rsidRPr="00880399">
              <w:rPr>
                <w:rFonts w:ascii="Calibri" w:hAnsi="Calibri" w:cs="Calibri"/>
                <w:sz w:val="22"/>
                <w:szCs w:val="20"/>
              </w:rPr>
              <w:t>445,965</w:t>
            </w:r>
          </w:p>
        </w:tc>
        <w:tc>
          <w:tcPr>
            <w:tcW w:w="1511" w:type="dxa"/>
            <w:vAlign w:val="center"/>
          </w:tcPr>
          <w:p w:rsidR="00880399" w:rsidRPr="00880399" w:rsidRDefault="00880399" w:rsidP="00880399">
            <w:pPr>
              <w:pStyle w:val="NormalWeb"/>
              <w:spacing w:before="0" w:beforeAutospacing="0" w:after="150" w:afterAutospacing="0" w:line="300" w:lineRule="atLeast"/>
              <w:jc w:val="center"/>
              <w:rPr>
                <w:rFonts w:ascii="Calibri" w:hAnsi="Calibri" w:cs="Calibri"/>
                <w:sz w:val="22"/>
                <w:szCs w:val="20"/>
              </w:rPr>
            </w:pPr>
            <w:r w:rsidRPr="00880399">
              <w:rPr>
                <w:rFonts w:ascii="Calibri" w:hAnsi="Calibri" w:cs="Calibri"/>
                <w:sz w:val="22"/>
                <w:szCs w:val="20"/>
              </w:rPr>
              <w:t>793,894</w:t>
            </w:r>
          </w:p>
        </w:tc>
      </w:tr>
    </w:tbl>
    <w:p w:rsidR="000C78A7" w:rsidRDefault="000C78A7" w:rsidP="000C78A7">
      <w:pPr>
        <w:pStyle w:val="Quote"/>
      </w:pPr>
      <w:r>
        <w:t>Kaynak: Trade Map</w:t>
      </w:r>
    </w:p>
    <w:p w:rsidR="00276023" w:rsidRDefault="00276023">
      <w:pPr>
        <w:rPr>
          <w:rFonts w:asciiTheme="majorHAnsi" w:eastAsiaTheme="majorEastAsia" w:hAnsiTheme="majorHAnsi" w:cstheme="majorBidi"/>
          <w:b/>
          <w:bCs/>
          <w:color w:val="4F81BD" w:themeColor="accent1"/>
          <w:sz w:val="26"/>
          <w:szCs w:val="26"/>
        </w:rPr>
      </w:pPr>
      <w:bookmarkStart w:id="21" w:name="_Toc491348174"/>
      <w:r>
        <w:br w:type="page"/>
      </w:r>
    </w:p>
    <w:p w:rsidR="00A17E9E" w:rsidRDefault="00781D2B" w:rsidP="00A17E9E">
      <w:pPr>
        <w:pStyle w:val="Heading2"/>
      </w:pPr>
      <w:r w:rsidRPr="00FC5E56">
        <w:lastRenderedPageBreak/>
        <w:t>Kenya’nın</w:t>
      </w:r>
      <w:r w:rsidR="00A17E9E" w:rsidRPr="00FC5E56">
        <w:t xml:space="preserve"> İthalatında Başlıca Ürünler (1000$)</w:t>
      </w:r>
      <w:bookmarkEnd w:id="21"/>
    </w:p>
    <w:tbl>
      <w:tblPr>
        <w:tblStyle w:val="TableGrid"/>
        <w:tblW w:w="9072" w:type="dxa"/>
        <w:tblInd w:w="108" w:type="dxa"/>
        <w:tblLook w:val="04A0" w:firstRow="1" w:lastRow="0" w:firstColumn="1" w:lastColumn="0" w:noHBand="0" w:noVBand="1"/>
      </w:tblPr>
      <w:tblGrid>
        <w:gridCol w:w="663"/>
        <w:gridCol w:w="4671"/>
        <w:gridCol w:w="1260"/>
        <w:gridCol w:w="1260"/>
        <w:gridCol w:w="1218"/>
      </w:tblGrid>
      <w:tr w:rsidR="00E85D34" w:rsidRPr="00FC5E56" w:rsidTr="00E85D34">
        <w:trPr>
          <w:trHeight w:val="356"/>
        </w:trPr>
        <w:tc>
          <w:tcPr>
            <w:tcW w:w="663" w:type="dxa"/>
          </w:tcPr>
          <w:p w:rsidR="00E85D34" w:rsidRPr="00FC5E56" w:rsidRDefault="00E85D34" w:rsidP="00FC5E56">
            <w:pPr>
              <w:pStyle w:val="NoSpacing"/>
              <w:rPr>
                <w:rFonts w:eastAsia="Times New Roman"/>
                <w:b/>
              </w:rPr>
            </w:pPr>
            <w:r>
              <w:rPr>
                <w:rFonts w:eastAsia="Times New Roman"/>
                <w:b/>
              </w:rPr>
              <w:t>GTİP</w:t>
            </w:r>
          </w:p>
        </w:tc>
        <w:tc>
          <w:tcPr>
            <w:tcW w:w="4734" w:type="dxa"/>
            <w:vAlign w:val="center"/>
            <w:hideMark/>
          </w:tcPr>
          <w:p w:rsidR="00E85D34" w:rsidRPr="00FC5E56" w:rsidRDefault="00E85D34" w:rsidP="00FC5E56">
            <w:pPr>
              <w:pStyle w:val="NoSpacing"/>
              <w:rPr>
                <w:rFonts w:eastAsia="Times New Roman"/>
                <w:b/>
              </w:rPr>
            </w:pPr>
            <w:r w:rsidRPr="00FC5E56">
              <w:rPr>
                <w:rFonts w:eastAsia="Times New Roman"/>
                <w:b/>
              </w:rPr>
              <w:t>ÜRÜNLER</w:t>
            </w:r>
          </w:p>
        </w:tc>
        <w:tc>
          <w:tcPr>
            <w:tcW w:w="1261" w:type="dxa"/>
            <w:vAlign w:val="center"/>
            <w:hideMark/>
          </w:tcPr>
          <w:p w:rsidR="00E85D34" w:rsidRPr="00FC5E56" w:rsidRDefault="00E85D34" w:rsidP="00FC5E56">
            <w:pPr>
              <w:pStyle w:val="NoSpacing"/>
              <w:jc w:val="center"/>
              <w:rPr>
                <w:rFonts w:eastAsia="Times New Roman"/>
                <w:b/>
              </w:rPr>
            </w:pPr>
            <w:r w:rsidRPr="00FC5E56">
              <w:rPr>
                <w:rFonts w:eastAsia="Times New Roman"/>
                <w:b/>
              </w:rPr>
              <w:t>2014</w:t>
            </w:r>
          </w:p>
        </w:tc>
        <w:tc>
          <w:tcPr>
            <w:tcW w:w="1261" w:type="dxa"/>
            <w:vAlign w:val="center"/>
            <w:hideMark/>
          </w:tcPr>
          <w:p w:rsidR="00E85D34" w:rsidRPr="00FC5E56" w:rsidRDefault="00E85D34" w:rsidP="00FC5E56">
            <w:pPr>
              <w:pStyle w:val="NoSpacing"/>
              <w:jc w:val="center"/>
              <w:rPr>
                <w:rFonts w:eastAsia="Times New Roman"/>
                <w:b/>
              </w:rPr>
            </w:pPr>
            <w:r w:rsidRPr="00FC5E56">
              <w:rPr>
                <w:rFonts w:eastAsia="Times New Roman"/>
                <w:b/>
              </w:rPr>
              <w:t>2015</w:t>
            </w:r>
          </w:p>
        </w:tc>
        <w:tc>
          <w:tcPr>
            <w:tcW w:w="1153" w:type="dxa"/>
            <w:noWrap/>
            <w:vAlign w:val="center"/>
            <w:hideMark/>
          </w:tcPr>
          <w:p w:rsidR="00E85D34" w:rsidRPr="00FC5E56" w:rsidRDefault="00E85D34" w:rsidP="00FC5E56">
            <w:pPr>
              <w:pStyle w:val="NoSpacing"/>
              <w:jc w:val="center"/>
              <w:rPr>
                <w:rFonts w:eastAsia="Times New Roman" w:cs="Times New Roman"/>
                <w:b/>
              </w:rPr>
            </w:pPr>
            <w:r w:rsidRPr="00FC5E56">
              <w:rPr>
                <w:rFonts w:eastAsia="Times New Roman" w:cs="Times New Roman"/>
                <w:b/>
              </w:rPr>
              <w:t>2016</w:t>
            </w:r>
          </w:p>
        </w:tc>
      </w:tr>
      <w:tr w:rsidR="00E85D34" w:rsidRPr="00FC5E56" w:rsidTr="00E85D34">
        <w:trPr>
          <w:trHeight w:val="356"/>
        </w:trPr>
        <w:tc>
          <w:tcPr>
            <w:tcW w:w="663" w:type="dxa"/>
          </w:tcPr>
          <w:p w:rsidR="00E85D34" w:rsidRDefault="00E85D34" w:rsidP="00FC5E56">
            <w:pPr>
              <w:pStyle w:val="NoSpacing"/>
              <w:rPr>
                <w:rFonts w:eastAsia="Times New Roman"/>
                <w:b/>
              </w:rPr>
            </w:pPr>
          </w:p>
        </w:tc>
        <w:tc>
          <w:tcPr>
            <w:tcW w:w="4734" w:type="dxa"/>
            <w:vAlign w:val="center"/>
          </w:tcPr>
          <w:p w:rsidR="00E85D34" w:rsidRPr="00FC5E56" w:rsidRDefault="00E85D34" w:rsidP="00FC5E56">
            <w:pPr>
              <w:pStyle w:val="NoSpacing"/>
              <w:rPr>
                <w:rFonts w:eastAsia="Times New Roman"/>
                <w:b/>
              </w:rPr>
            </w:pPr>
            <w:r>
              <w:rPr>
                <w:rFonts w:eastAsia="Times New Roman"/>
                <w:b/>
              </w:rPr>
              <w:t>TOPLAM</w:t>
            </w:r>
          </w:p>
        </w:tc>
        <w:tc>
          <w:tcPr>
            <w:tcW w:w="1261" w:type="dxa"/>
            <w:vAlign w:val="center"/>
          </w:tcPr>
          <w:p w:rsidR="00E85D34" w:rsidRPr="00E85D34" w:rsidRDefault="00E85D34">
            <w:pPr>
              <w:pStyle w:val="NormalWeb"/>
              <w:spacing w:before="0" w:beforeAutospacing="0" w:after="150" w:afterAutospacing="0" w:line="300" w:lineRule="atLeast"/>
              <w:rPr>
                <w:rFonts w:ascii="Calibri" w:hAnsi="Calibri" w:cs="Calibri"/>
                <w:sz w:val="22"/>
                <w:szCs w:val="20"/>
              </w:rPr>
            </w:pPr>
            <w:r w:rsidRPr="00E85D34">
              <w:rPr>
                <w:rFonts w:ascii="Calibri" w:hAnsi="Calibri" w:cs="Calibri"/>
                <w:sz w:val="22"/>
                <w:szCs w:val="20"/>
              </w:rPr>
              <w:t>16,394,469</w:t>
            </w:r>
          </w:p>
        </w:tc>
        <w:tc>
          <w:tcPr>
            <w:tcW w:w="1261" w:type="dxa"/>
            <w:vAlign w:val="center"/>
          </w:tcPr>
          <w:p w:rsidR="00E85D34" w:rsidRPr="00E85D34" w:rsidRDefault="00E85D34">
            <w:pPr>
              <w:pStyle w:val="NormalWeb"/>
              <w:spacing w:before="0" w:beforeAutospacing="0" w:after="150" w:afterAutospacing="0" w:line="300" w:lineRule="atLeast"/>
              <w:rPr>
                <w:rFonts w:ascii="Calibri" w:hAnsi="Calibri" w:cs="Calibri"/>
                <w:sz w:val="22"/>
                <w:szCs w:val="20"/>
              </w:rPr>
            </w:pPr>
            <w:r w:rsidRPr="00E85D34">
              <w:rPr>
                <w:rFonts w:ascii="Calibri" w:hAnsi="Calibri" w:cs="Calibri"/>
                <w:sz w:val="22"/>
                <w:szCs w:val="20"/>
              </w:rPr>
              <w:t>21,379,850</w:t>
            </w:r>
          </w:p>
        </w:tc>
        <w:tc>
          <w:tcPr>
            <w:tcW w:w="1153" w:type="dxa"/>
            <w:noWrap/>
            <w:vAlign w:val="center"/>
          </w:tcPr>
          <w:p w:rsidR="00E85D34" w:rsidRPr="00E85D34" w:rsidRDefault="00E85D34">
            <w:pPr>
              <w:pStyle w:val="NormalWeb"/>
              <w:spacing w:before="0" w:beforeAutospacing="0" w:after="150" w:afterAutospacing="0" w:line="300" w:lineRule="atLeast"/>
              <w:rPr>
                <w:rFonts w:ascii="Calibri" w:hAnsi="Calibri" w:cs="Calibri"/>
                <w:sz w:val="22"/>
                <w:szCs w:val="20"/>
              </w:rPr>
            </w:pPr>
            <w:r w:rsidRPr="00E85D34">
              <w:rPr>
                <w:rFonts w:ascii="Calibri" w:hAnsi="Calibri" w:cs="Calibri"/>
                <w:sz w:val="22"/>
                <w:szCs w:val="20"/>
              </w:rPr>
              <w:t>18,668,918</w:t>
            </w:r>
          </w:p>
        </w:tc>
      </w:tr>
      <w:tr w:rsidR="00E85D34" w:rsidRPr="00FC5E56" w:rsidTr="00E85D34">
        <w:trPr>
          <w:trHeight w:val="356"/>
        </w:trPr>
        <w:tc>
          <w:tcPr>
            <w:tcW w:w="663" w:type="dxa"/>
            <w:vAlign w:val="center"/>
          </w:tcPr>
          <w:p w:rsidR="00E85D34" w:rsidRPr="00E85D34" w:rsidRDefault="00E85D34">
            <w:pPr>
              <w:pStyle w:val="NormalWeb"/>
              <w:spacing w:before="0" w:beforeAutospacing="0" w:after="150" w:afterAutospacing="0" w:line="300" w:lineRule="atLeast"/>
              <w:rPr>
                <w:rFonts w:ascii="Calibri" w:hAnsi="Calibri" w:cs="Calibri"/>
                <w:sz w:val="22"/>
                <w:szCs w:val="20"/>
              </w:rPr>
            </w:pPr>
            <w:r w:rsidRPr="00E85D34">
              <w:rPr>
                <w:rFonts w:ascii="Calibri" w:hAnsi="Calibri" w:cs="Calibri"/>
                <w:sz w:val="22"/>
                <w:szCs w:val="20"/>
              </w:rPr>
              <w:t>2710</w:t>
            </w:r>
          </w:p>
        </w:tc>
        <w:tc>
          <w:tcPr>
            <w:tcW w:w="4734" w:type="dxa"/>
            <w:vAlign w:val="center"/>
            <w:hideMark/>
          </w:tcPr>
          <w:p w:rsidR="00E85D34" w:rsidRPr="00E85D34" w:rsidRDefault="00E85D34">
            <w:pPr>
              <w:pStyle w:val="NormalWeb"/>
              <w:spacing w:before="0" w:beforeAutospacing="0" w:after="150" w:afterAutospacing="0" w:line="300" w:lineRule="atLeast"/>
              <w:rPr>
                <w:rFonts w:ascii="Calibri" w:hAnsi="Calibri" w:cs="Calibri"/>
                <w:sz w:val="22"/>
                <w:szCs w:val="20"/>
              </w:rPr>
            </w:pPr>
            <w:r w:rsidRPr="00E85D34">
              <w:rPr>
                <w:rFonts w:ascii="Calibri" w:hAnsi="Calibri" w:cs="Calibri"/>
                <w:sz w:val="22"/>
                <w:szCs w:val="20"/>
              </w:rPr>
              <w:t>               </w:t>
            </w:r>
          </w:p>
          <w:p w:rsidR="00E85D34" w:rsidRPr="00E85D34" w:rsidRDefault="00E85D34">
            <w:pPr>
              <w:pStyle w:val="NormalWeb"/>
              <w:spacing w:before="0" w:beforeAutospacing="0" w:after="150" w:afterAutospacing="0" w:line="300" w:lineRule="atLeast"/>
              <w:rPr>
                <w:rFonts w:ascii="Calibri" w:hAnsi="Calibri" w:cs="Calibri"/>
                <w:sz w:val="22"/>
                <w:szCs w:val="20"/>
              </w:rPr>
            </w:pPr>
            <w:r w:rsidRPr="00E85D34">
              <w:rPr>
                <w:rFonts w:ascii="Calibri" w:hAnsi="Calibri" w:cs="Calibri"/>
                <w:sz w:val="22"/>
                <w:szCs w:val="20"/>
              </w:rPr>
              <w:t>Petrol yağları ve bitümenli minerallerden elde edilen yağlar</w:t>
            </w:r>
          </w:p>
        </w:tc>
        <w:tc>
          <w:tcPr>
            <w:tcW w:w="1261" w:type="dxa"/>
            <w:vAlign w:val="center"/>
            <w:hideMark/>
          </w:tcPr>
          <w:p w:rsidR="00E85D34" w:rsidRPr="00E85D34" w:rsidRDefault="00E85D34">
            <w:pPr>
              <w:pStyle w:val="NormalWeb"/>
              <w:spacing w:before="0" w:beforeAutospacing="0" w:after="150" w:afterAutospacing="0" w:line="300" w:lineRule="atLeast"/>
              <w:rPr>
                <w:rFonts w:ascii="Calibri" w:hAnsi="Calibri" w:cs="Calibri"/>
                <w:sz w:val="22"/>
                <w:szCs w:val="20"/>
              </w:rPr>
            </w:pPr>
            <w:r w:rsidRPr="00E85D34">
              <w:rPr>
                <w:rFonts w:ascii="Calibri" w:hAnsi="Calibri" w:cs="Calibri"/>
                <w:sz w:val="22"/>
                <w:szCs w:val="20"/>
              </w:rPr>
              <w:t>3,231,649</w:t>
            </w:r>
          </w:p>
        </w:tc>
        <w:tc>
          <w:tcPr>
            <w:tcW w:w="1261" w:type="dxa"/>
            <w:vAlign w:val="center"/>
            <w:hideMark/>
          </w:tcPr>
          <w:p w:rsidR="00E85D34" w:rsidRPr="00E85D34" w:rsidRDefault="00E85D34">
            <w:pPr>
              <w:pStyle w:val="NormalWeb"/>
              <w:spacing w:before="0" w:beforeAutospacing="0" w:after="150" w:afterAutospacing="0" w:line="300" w:lineRule="atLeast"/>
              <w:rPr>
                <w:rFonts w:ascii="Calibri" w:hAnsi="Calibri" w:cs="Calibri"/>
                <w:sz w:val="22"/>
                <w:szCs w:val="20"/>
              </w:rPr>
            </w:pPr>
            <w:r w:rsidRPr="00E85D34">
              <w:rPr>
                <w:rFonts w:ascii="Calibri" w:hAnsi="Calibri" w:cs="Calibri"/>
                <w:sz w:val="22"/>
                <w:szCs w:val="20"/>
              </w:rPr>
              <w:t>4,192,909</w:t>
            </w:r>
          </w:p>
        </w:tc>
        <w:tc>
          <w:tcPr>
            <w:tcW w:w="1153" w:type="dxa"/>
            <w:vAlign w:val="center"/>
            <w:hideMark/>
          </w:tcPr>
          <w:p w:rsidR="00E85D34" w:rsidRPr="00E85D34" w:rsidRDefault="00E85D34">
            <w:pPr>
              <w:pStyle w:val="NormalWeb"/>
              <w:spacing w:before="0" w:beforeAutospacing="0" w:after="150" w:afterAutospacing="0" w:line="300" w:lineRule="atLeast"/>
              <w:rPr>
                <w:rFonts w:ascii="Calibri" w:hAnsi="Calibri" w:cs="Calibri"/>
                <w:sz w:val="22"/>
                <w:szCs w:val="20"/>
              </w:rPr>
            </w:pPr>
            <w:r w:rsidRPr="00E85D34">
              <w:rPr>
                <w:rFonts w:ascii="Calibri" w:hAnsi="Calibri" w:cs="Calibri"/>
                <w:sz w:val="22"/>
                <w:szCs w:val="20"/>
              </w:rPr>
              <w:t>2,180,338</w:t>
            </w:r>
          </w:p>
        </w:tc>
      </w:tr>
      <w:tr w:rsidR="00E85D34" w:rsidRPr="00FC5E56" w:rsidTr="00E85D34">
        <w:trPr>
          <w:trHeight w:val="356"/>
        </w:trPr>
        <w:tc>
          <w:tcPr>
            <w:tcW w:w="663" w:type="dxa"/>
            <w:vAlign w:val="center"/>
          </w:tcPr>
          <w:p w:rsidR="00E85D34" w:rsidRPr="00E85D34" w:rsidRDefault="00E85D34">
            <w:pPr>
              <w:pStyle w:val="NormalWeb"/>
              <w:spacing w:before="0" w:beforeAutospacing="0" w:after="150" w:afterAutospacing="0" w:line="300" w:lineRule="atLeast"/>
              <w:rPr>
                <w:rFonts w:ascii="Calibri" w:hAnsi="Calibri" w:cs="Calibri"/>
                <w:sz w:val="22"/>
                <w:szCs w:val="20"/>
              </w:rPr>
            </w:pPr>
            <w:r w:rsidRPr="00E85D34">
              <w:rPr>
                <w:rFonts w:ascii="Calibri" w:hAnsi="Calibri" w:cs="Calibri"/>
                <w:sz w:val="22"/>
                <w:szCs w:val="20"/>
              </w:rPr>
              <w:t>9999</w:t>
            </w:r>
          </w:p>
        </w:tc>
        <w:tc>
          <w:tcPr>
            <w:tcW w:w="4734" w:type="dxa"/>
            <w:vAlign w:val="center"/>
            <w:hideMark/>
          </w:tcPr>
          <w:p w:rsidR="00E85D34" w:rsidRPr="00E85D34" w:rsidRDefault="00E85D34">
            <w:pPr>
              <w:pStyle w:val="NormalWeb"/>
              <w:spacing w:before="0" w:beforeAutospacing="0" w:after="150" w:afterAutospacing="0" w:line="300" w:lineRule="atLeast"/>
              <w:rPr>
                <w:rFonts w:ascii="Calibri" w:hAnsi="Calibri" w:cs="Calibri"/>
                <w:sz w:val="22"/>
                <w:szCs w:val="20"/>
              </w:rPr>
            </w:pPr>
            <w:r w:rsidRPr="00E85D34">
              <w:rPr>
                <w:rFonts w:ascii="Calibri" w:hAnsi="Calibri" w:cs="Calibri"/>
                <w:sz w:val="22"/>
                <w:szCs w:val="20"/>
              </w:rPr>
              <w:t>Tarifenin başka yerinde belirtilmeyen ürünler</w:t>
            </w:r>
          </w:p>
        </w:tc>
        <w:tc>
          <w:tcPr>
            <w:tcW w:w="1261" w:type="dxa"/>
            <w:vAlign w:val="center"/>
            <w:hideMark/>
          </w:tcPr>
          <w:p w:rsidR="00E85D34" w:rsidRPr="00E85D34" w:rsidRDefault="00E85D34">
            <w:pPr>
              <w:pStyle w:val="NormalWeb"/>
              <w:spacing w:before="0" w:beforeAutospacing="0" w:after="150" w:afterAutospacing="0" w:line="300" w:lineRule="atLeast"/>
              <w:rPr>
                <w:rFonts w:ascii="Calibri" w:hAnsi="Calibri" w:cs="Calibri"/>
                <w:sz w:val="22"/>
                <w:szCs w:val="20"/>
              </w:rPr>
            </w:pPr>
            <w:r w:rsidRPr="00E85D34">
              <w:rPr>
                <w:rFonts w:ascii="Calibri" w:hAnsi="Calibri" w:cs="Calibri"/>
                <w:sz w:val="22"/>
                <w:szCs w:val="20"/>
              </w:rPr>
              <w:t>165,812</w:t>
            </w:r>
          </w:p>
        </w:tc>
        <w:tc>
          <w:tcPr>
            <w:tcW w:w="1261" w:type="dxa"/>
            <w:vAlign w:val="center"/>
            <w:hideMark/>
          </w:tcPr>
          <w:p w:rsidR="00E85D34" w:rsidRPr="00E85D34" w:rsidRDefault="00E85D34">
            <w:pPr>
              <w:pStyle w:val="NormalWeb"/>
              <w:spacing w:before="0" w:beforeAutospacing="0" w:after="150" w:afterAutospacing="0" w:line="300" w:lineRule="atLeast"/>
              <w:rPr>
                <w:rFonts w:ascii="Calibri" w:hAnsi="Calibri" w:cs="Calibri"/>
                <w:sz w:val="22"/>
                <w:szCs w:val="20"/>
              </w:rPr>
            </w:pPr>
            <w:r w:rsidRPr="00E85D34">
              <w:rPr>
                <w:rFonts w:ascii="Calibri" w:hAnsi="Calibri" w:cs="Calibri"/>
                <w:sz w:val="22"/>
                <w:szCs w:val="20"/>
              </w:rPr>
              <w:t>1,445,618</w:t>
            </w:r>
          </w:p>
        </w:tc>
        <w:tc>
          <w:tcPr>
            <w:tcW w:w="1153" w:type="dxa"/>
            <w:vAlign w:val="center"/>
            <w:hideMark/>
          </w:tcPr>
          <w:p w:rsidR="00E85D34" w:rsidRPr="00E85D34" w:rsidRDefault="00E85D34">
            <w:pPr>
              <w:pStyle w:val="NormalWeb"/>
              <w:spacing w:before="0" w:beforeAutospacing="0" w:after="150" w:afterAutospacing="0" w:line="300" w:lineRule="atLeast"/>
              <w:rPr>
                <w:rFonts w:ascii="Calibri" w:hAnsi="Calibri" w:cs="Calibri"/>
                <w:sz w:val="22"/>
                <w:szCs w:val="20"/>
              </w:rPr>
            </w:pPr>
            <w:r w:rsidRPr="00E85D34">
              <w:rPr>
                <w:rFonts w:ascii="Calibri" w:hAnsi="Calibri" w:cs="Calibri"/>
                <w:sz w:val="22"/>
                <w:szCs w:val="20"/>
              </w:rPr>
              <w:t>789,909</w:t>
            </w:r>
          </w:p>
        </w:tc>
      </w:tr>
      <w:tr w:rsidR="00E85D34" w:rsidRPr="00FC5E56" w:rsidTr="00E85D34">
        <w:trPr>
          <w:trHeight w:val="356"/>
        </w:trPr>
        <w:tc>
          <w:tcPr>
            <w:tcW w:w="663" w:type="dxa"/>
            <w:vAlign w:val="center"/>
          </w:tcPr>
          <w:p w:rsidR="00E85D34" w:rsidRPr="00E85D34" w:rsidRDefault="00E85D34">
            <w:pPr>
              <w:pStyle w:val="NormalWeb"/>
              <w:spacing w:before="0" w:beforeAutospacing="0" w:after="150" w:afterAutospacing="0" w:line="300" w:lineRule="atLeast"/>
              <w:rPr>
                <w:rFonts w:ascii="Calibri" w:hAnsi="Calibri" w:cs="Calibri"/>
                <w:sz w:val="22"/>
                <w:szCs w:val="20"/>
              </w:rPr>
            </w:pPr>
            <w:r w:rsidRPr="00E85D34">
              <w:rPr>
                <w:rFonts w:ascii="Calibri" w:hAnsi="Calibri" w:cs="Calibri"/>
                <w:sz w:val="22"/>
                <w:szCs w:val="20"/>
              </w:rPr>
              <w:t>8703</w:t>
            </w:r>
          </w:p>
        </w:tc>
        <w:tc>
          <w:tcPr>
            <w:tcW w:w="4734" w:type="dxa"/>
            <w:vAlign w:val="center"/>
            <w:hideMark/>
          </w:tcPr>
          <w:p w:rsidR="00E85D34" w:rsidRPr="00E85D34" w:rsidRDefault="00E85D34">
            <w:pPr>
              <w:pStyle w:val="NormalWeb"/>
              <w:spacing w:before="0" w:beforeAutospacing="0" w:after="150" w:afterAutospacing="0" w:line="300" w:lineRule="atLeast"/>
              <w:rPr>
                <w:rFonts w:ascii="Calibri" w:hAnsi="Calibri" w:cs="Calibri"/>
                <w:sz w:val="22"/>
                <w:szCs w:val="20"/>
              </w:rPr>
            </w:pPr>
            <w:r w:rsidRPr="00E85D34">
              <w:rPr>
                <w:rFonts w:ascii="Calibri" w:hAnsi="Calibri" w:cs="Calibri"/>
                <w:sz w:val="22"/>
                <w:szCs w:val="20"/>
              </w:rPr>
              <w:t>Binek otomobilleri ve esas itibariyle insan taşımak üzere imal edilmiş diğer motorlu taşıtlar (yarış rabaları dahil)</w:t>
            </w:r>
          </w:p>
        </w:tc>
        <w:tc>
          <w:tcPr>
            <w:tcW w:w="1261" w:type="dxa"/>
            <w:vAlign w:val="center"/>
            <w:hideMark/>
          </w:tcPr>
          <w:p w:rsidR="00E85D34" w:rsidRPr="00E85D34" w:rsidRDefault="00E85D34">
            <w:pPr>
              <w:pStyle w:val="NormalWeb"/>
              <w:spacing w:before="0" w:beforeAutospacing="0" w:after="150" w:afterAutospacing="0" w:line="300" w:lineRule="atLeast"/>
              <w:rPr>
                <w:rFonts w:ascii="Calibri" w:hAnsi="Calibri" w:cs="Calibri"/>
                <w:sz w:val="22"/>
                <w:szCs w:val="20"/>
              </w:rPr>
            </w:pPr>
            <w:r w:rsidRPr="00E85D34">
              <w:rPr>
                <w:rFonts w:ascii="Calibri" w:hAnsi="Calibri" w:cs="Calibri"/>
                <w:sz w:val="22"/>
                <w:szCs w:val="20"/>
              </w:rPr>
              <w:t>496,426</w:t>
            </w:r>
          </w:p>
        </w:tc>
        <w:tc>
          <w:tcPr>
            <w:tcW w:w="1261" w:type="dxa"/>
            <w:vAlign w:val="center"/>
            <w:hideMark/>
          </w:tcPr>
          <w:p w:rsidR="00E85D34" w:rsidRPr="00E85D34" w:rsidRDefault="00E85D34">
            <w:pPr>
              <w:pStyle w:val="NormalWeb"/>
              <w:spacing w:before="0" w:beforeAutospacing="0" w:after="150" w:afterAutospacing="0" w:line="300" w:lineRule="atLeast"/>
              <w:rPr>
                <w:rFonts w:ascii="Calibri" w:hAnsi="Calibri" w:cs="Calibri"/>
                <w:sz w:val="22"/>
                <w:szCs w:val="20"/>
              </w:rPr>
            </w:pPr>
            <w:r w:rsidRPr="00E85D34">
              <w:rPr>
                <w:rFonts w:ascii="Calibri" w:hAnsi="Calibri" w:cs="Calibri"/>
                <w:sz w:val="22"/>
                <w:szCs w:val="20"/>
              </w:rPr>
              <w:t>572,348</w:t>
            </w:r>
          </w:p>
        </w:tc>
        <w:tc>
          <w:tcPr>
            <w:tcW w:w="1153" w:type="dxa"/>
            <w:vAlign w:val="center"/>
            <w:hideMark/>
          </w:tcPr>
          <w:p w:rsidR="00E85D34" w:rsidRPr="00E85D34" w:rsidRDefault="00E85D34">
            <w:pPr>
              <w:pStyle w:val="NormalWeb"/>
              <w:spacing w:before="0" w:beforeAutospacing="0" w:after="150" w:afterAutospacing="0" w:line="300" w:lineRule="atLeast"/>
              <w:rPr>
                <w:rFonts w:ascii="Calibri" w:hAnsi="Calibri" w:cs="Calibri"/>
                <w:sz w:val="22"/>
                <w:szCs w:val="20"/>
              </w:rPr>
            </w:pPr>
            <w:r w:rsidRPr="00E85D34">
              <w:rPr>
                <w:rFonts w:ascii="Calibri" w:hAnsi="Calibri" w:cs="Calibri"/>
                <w:sz w:val="22"/>
                <w:szCs w:val="20"/>
              </w:rPr>
              <w:t>518,488</w:t>
            </w:r>
          </w:p>
        </w:tc>
      </w:tr>
      <w:tr w:rsidR="00E85D34" w:rsidRPr="00FC5E56" w:rsidTr="00E85D34">
        <w:trPr>
          <w:trHeight w:val="356"/>
        </w:trPr>
        <w:tc>
          <w:tcPr>
            <w:tcW w:w="663" w:type="dxa"/>
            <w:vAlign w:val="center"/>
          </w:tcPr>
          <w:p w:rsidR="00E85D34" w:rsidRPr="00E85D34" w:rsidRDefault="00E85D34">
            <w:pPr>
              <w:pStyle w:val="NormalWeb"/>
              <w:spacing w:before="0" w:beforeAutospacing="0" w:after="150" w:afterAutospacing="0" w:line="300" w:lineRule="atLeast"/>
              <w:rPr>
                <w:rFonts w:ascii="Calibri" w:hAnsi="Calibri" w:cs="Calibri"/>
                <w:sz w:val="22"/>
                <w:szCs w:val="20"/>
              </w:rPr>
            </w:pPr>
            <w:r w:rsidRPr="00E85D34">
              <w:rPr>
                <w:rFonts w:ascii="Calibri" w:hAnsi="Calibri" w:cs="Calibri"/>
                <w:sz w:val="22"/>
                <w:szCs w:val="20"/>
              </w:rPr>
              <w:t>3004</w:t>
            </w:r>
          </w:p>
        </w:tc>
        <w:tc>
          <w:tcPr>
            <w:tcW w:w="4734" w:type="dxa"/>
            <w:vAlign w:val="center"/>
            <w:hideMark/>
          </w:tcPr>
          <w:p w:rsidR="00E85D34" w:rsidRPr="00E85D34" w:rsidRDefault="00E85D34">
            <w:pPr>
              <w:pStyle w:val="NormalWeb"/>
              <w:spacing w:before="0" w:beforeAutospacing="0" w:after="150" w:afterAutospacing="0" w:line="300" w:lineRule="atLeast"/>
              <w:rPr>
                <w:rFonts w:ascii="Calibri" w:hAnsi="Calibri" w:cs="Calibri"/>
                <w:sz w:val="22"/>
                <w:szCs w:val="20"/>
              </w:rPr>
            </w:pPr>
            <w:r w:rsidRPr="00E85D34">
              <w:rPr>
                <w:rFonts w:ascii="Calibri" w:hAnsi="Calibri" w:cs="Calibri"/>
                <w:sz w:val="22"/>
                <w:szCs w:val="20"/>
              </w:rPr>
              <w:t>Tedavide veya korunmada kullanılmak üzere hazırlanan ilaçlar (dozlandırılmış)</w:t>
            </w:r>
          </w:p>
        </w:tc>
        <w:tc>
          <w:tcPr>
            <w:tcW w:w="1261" w:type="dxa"/>
            <w:vAlign w:val="center"/>
            <w:hideMark/>
          </w:tcPr>
          <w:p w:rsidR="00E85D34" w:rsidRPr="00E85D34" w:rsidRDefault="00E85D34">
            <w:pPr>
              <w:pStyle w:val="NormalWeb"/>
              <w:spacing w:before="0" w:beforeAutospacing="0" w:after="150" w:afterAutospacing="0" w:line="300" w:lineRule="atLeast"/>
              <w:rPr>
                <w:rFonts w:ascii="Calibri" w:hAnsi="Calibri" w:cs="Calibri"/>
                <w:sz w:val="22"/>
                <w:szCs w:val="20"/>
              </w:rPr>
            </w:pPr>
            <w:r w:rsidRPr="00E85D34">
              <w:rPr>
                <w:rFonts w:ascii="Calibri" w:hAnsi="Calibri" w:cs="Calibri"/>
                <w:sz w:val="22"/>
                <w:szCs w:val="20"/>
              </w:rPr>
              <w:t>354,979</w:t>
            </w:r>
          </w:p>
        </w:tc>
        <w:tc>
          <w:tcPr>
            <w:tcW w:w="1261" w:type="dxa"/>
            <w:vAlign w:val="center"/>
            <w:hideMark/>
          </w:tcPr>
          <w:p w:rsidR="00E85D34" w:rsidRPr="00E85D34" w:rsidRDefault="00E85D34">
            <w:pPr>
              <w:pStyle w:val="NormalWeb"/>
              <w:spacing w:before="0" w:beforeAutospacing="0" w:after="150" w:afterAutospacing="0" w:line="300" w:lineRule="atLeast"/>
              <w:rPr>
                <w:rFonts w:ascii="Calibri" w:hAnsi="Calibri" w:cs="Calibri"/>
                <w:sz w:val="22"/>
                <w:szCs w:val="20"/>
              </w:rPr>
            </w:pPr>
            <w:r w:rsidRPr="00E85D34">
              <w:rPr>
                <w:rFonts w:ascii="Calibri" w:hAnsi="Calibri" w:cs="Calibri"/>
                <w:sz w:val="22"/>
                <w:szCs w:val="20"/>
              </w:rPr>
              <w:t>415,334</w:t>
            </w:r>
          </w:p>
        </w:tc>
        <w:tc>
          <w:tcPr>
            <w:tcW w:w="1153" w:type="dxa"/>
            <w:vAlign w:val="center"/>
            <w:hideMark/>
          </w:tcPr>
          <w:p w:rsidR="00E85D34" w:rsidRPr="00E85D34" w:rsidRDefault="00E85D34">
            <w:pPr>
              <w:pStyle w:val="NormalWeb"/>
              <w:spacing w:before="0" w:beforeAutospacing="0" w:after="150" w:afterAutospacing="0" w:line="300" w:lineRule="atLeast"/>
              <w:rPr>
                <w:rFonts w:ascii="Calibri" w:hAnsi="Calibri" w:cs="Calibri"/>
                <w:sz w:val="22"/>
                <w:szCs w:val="20"/>
              </w:rPr>
            </w:pPr>
            <w:r w:rsidRPr="00E85D34">
              <w:rPr>
                <w:rFonts w:ascii="Calibri" w:hAnsi="Calibri" w:cs="Calibri"/>
                <w:sz w:val="22"/>
                <w:szCs w:val="20"/>
              </w:rPr>
              <w:t>448,111</w:t>
            </w:r>
          </w:p>
        </w:tc>
      </w:tr>
      <w:tr w:rsidR="00E85D34" w:rsidRPr="00FC5E56" w:rsidTr="00E85D34">
        <w:trPr>
          <w:trHeight w:val="356"/>
        </w:trPr>
        <w:tc>
          <w:tcPr>
            <w:tcW w:w="663" w:type="dxa"/>
            <w:vAlign w:val="center"/>
          </w:tcPr>
          <w:p w:rsidR="00E85D34" w:rsidRPr="00E85D34" w:rsidRDefault="00E85D34">
            <w:pPr>
              <w:pStyle w:val="NormalWeb"/>
              <w:spacing w:before="0" w:beforeAutospacing="0" w:after="150" w:afterAutospacing="0" w:line="300" w:lineRule="atLeast"/>
              <w:rPr>
                <w:rFonts w:ascii="Calibri" w:hAnsi="Calibri" w:cs="Calibri"/>
                <w:sz w:val="22"/>
                <w:szCs w:val="20"/>
              </w:rPr>
            </w:pPr>
            <w:r w:rsidRPr="00E85D34">
              <w:rPr>
                <w:rFonts w:ascii="Calibri" w:hAnsi="Calibri" w:cs="Calibri"/>
                <w:sz w:val="22"/>
                <w:szCs w:val="20"/>
              </w:rPr>
              <w:t>8528</w:t>
            </w:r>
          </w:p>
        </w:tc>
        <w:tc>
          <w:tcPr>
            <w:tcW w:w="4734" w:type="dxa"/>
            <w:vAlign w:val="center"/>
            <w:hideMark/>
          </w:tcPr>
          <w:p w:rsidR="00E85D34" w:rsidRPr="00E85D34" w:rsidRDefault="00E85D34">
            <w:pPr>
              <w:pStyle w:val="NormalWeb"/>
              <w:spacing w:before="0" w:beforeAutospacing="0" w:after="150" w:afterAutospacing="0" w:line="300" w:lineRule="atLeast"/>
              <w:rPr>
                <w:rFonts w:ascii="Calibri" w:hAnsi="Calibri" w:cs="Calibri"/>
                <w:sz w:val="22"/>
                <w:szCs w:val="20"/>
              </w:rPr>
            </w:pPr>
            <w:r w:rsidRPr="00E85D34">
              <w:rPr>
                <w:rFonts w:ascii="Calibri" w:hAnsi="Calibri" w:cs="Calibri"/>
                <w:sz w:val="22"/>
                <w:szCs w:val="20"/>
              </w:rPr>
              <w:t>               </w:t>
            </w:r>
          </w:p>
          <w:p w:rsidR="00E85D34" w:rsidRPr="00E85D34" w:rsidRDefault="00E85D34">
            <w:pPr>
              <w:pStyle w:val="NormalWeb"/>
              <w:spacing w:before="0" w:beforeAutospacing="0" w:after="150" w:afterAutospacing="0" w:line="300" w:lineRule="atLeast"/>
              <w:rPr>
                <w:rFonts w:ascii="Calibri" w:hAnsi="Calibri" w:cs="Calibri"/>
                <w:sz w:val="22"/>
                <w:szCs w:val="20"/>
              </w:rPr>
            </w:pPr>
            <w:r w:rsidRPr="00E85D34">
              <w:rPr>
                <w:rFonts w:ascii="Calibri" w:hAnsi="Calibri" w:cs="Calibri"/>
                <w:sz w:val="22"/>
                <w:szCs w:val="20"/>
              </w:rPr>
              <w:t>Monitörler ve projektörler, televizyon alıcı cihazları</w:t>
            </w:r>
          </w:p>
        </w:tc>
        <w:tc>
          <w:tcPr>
            <w:tcW w:w="1261" w:type="dxa"/>
            <w:vAlign w:val="center"/>
            <w:hideMark/>
          </w:tcPr>
          <w:p w:rsidR="00E85D34" w:rsidRPr="00E85D34" w:rsidRDefault="00E85D34">
            <w:pPr>
              <w:pStyle w:val="NormalWeb"/>
              <w:spacing w:before="0" w:beforeAutospacing="0" w:after="150" w:afterAutospacing="0" w:line="300" w:lineRule="atLeast"/>
              <w:rPr>
                <w:rFonts w:ascii="Calibri" w:hAnsi="Calibri" w:cs="Calibri"/>
                <w:sz w:val="22"/>
                <w:szCs w:val="20"/>
              </w:rPr>
            </w:pPr>
            <w:r w:rsidRPr="00E85D34">
              <w:rPr>
                <w:rFonts w:ascii="Calibri" w:hAnsi="Calibri" w:cs="Calibri"/>
                <w:sz w:val="22"/>
                <w:szCs w:val="20"/>
              </w:rPr>
              <w:t>101,198</w:t>
            </w:r>
          </w:p>
        </w:tc>
        <w:tc>
          <w:tcPr>
            <w:tcW w:w="1261" w:type="dxa"/>
            <w:vAlign w:val="center"/>
            <w:hideMark/>
          </w:tcPr>
          <w:p w:rsidR="00E85D34" w:rsidRPr="00E85D34" w:rsidRDefault="00E85D34">
            <w:pPr>
              <w:pStyle w:val="NormalWeb"/>
              <w:spacing w:before="0" w:beforeAutospacing="0" w:after="150" w:afterAutospacing="0" w:line="300" w:lineRule="atLeast"/>
              <w:rPr>
                <w:rFonts w:ascii="Calibri" w:hAnsi="Calibri" w:cs="Calibri"/>
                <w:sz w:val="22"/>
                <w:szCs w:val="20"/>
              </w:rPr>
            </w:pPr>
            <w:r w:rsidRPr="00E85D34">
              <w:rPr>
                <w:rFonts w:ascii="Calibri" w:hAnsi="Calibri" w:cs="Calibri"/>
                <w:sz w:val="22"/>
                <w:szCs w:val="20"/>
              </w:rPr>
              <w:t>133,492</w:t>
            </w:r>
          </w:p>
        </w:tc>
        <w:tc>
          <w:tcPr>
            <w:tcW w:w="1153" w:type="dxa"/>
            <w:vAlign w:val="center"/>
            <w:hideMark/>
          </w:tcPr>
          <w:p w:rsidR="00E85D34" w:rsidRPr="00E85D34" w:rsidRDefault="00E85D34">
            <w:pPr>
              <w:pStyle w:val="NormalWeb"/>
              <w:spacing w:before="0" w:beforeAutospacing="0" w:after="150" w:afterAutospacing="0" w:line="300" w:lineRule="atLeast"/>
              <w:rPr>
                <w:rFonts w:ascii="Calibri" w:hAnsi="Calibri" w:cs="Calibri"/>
                <w:sz w:val="22"/>
                <w:szCs w:val="20"/>
              </w:rPr>
            </w:pPr>
            <w:r w:rsidRPr="00E85D34">
              <w:rPr>
                <w:rFonts w:ascii="Calibri" w:hAnsi="Calibri" w:cs="Calibri"/>
                <w:sz w:val="22"/>
                <w:szCs w:val="20"/>
              </w:rPr>
              <w:t>444,780</w:t>
            </w:r>
          </w:p>
        </w:tc>
      </w:tr>
    </w:tbl>
    <w:p w:rsidR="00777CEA" w:rsidRDefault="00777CEA" w:rsidP="00777CEA">
      <w:pPr>
        <w:pStyle w:val="Quote"/>
      </w:pPr>
      <w:r>
        <w:t>Kaynak: Trade Map</w:t>
      </w:r>
    </w:p>
    <w:p w:rsidR="00880399" w:rsidRDefault="00880399" w:rsidP="00880399">
      <w:pPr>
        <w:pStyle w:val="Heading1"/>
      </w:pPr>
      <w:bookmarkStart w:id="22" w:name="_Toc491348175"/>
      <w:r>
        <w:t>İHRACAT</w:t>
      </w:r>
      <w:bookmarkEnd w:id="22"/>
    </w:p>
    <w:p w:rsidR="00880399" w:rsidRDefault="00880399" w:rsidP="00880399">
      <w:r w:rsidRPr="00880399">
        <w:t>Kenya’nın ihraç malları nispeten çeşitlilik arzetmekle birlikte, çay ve bahçe bitkileri en önemli ihraç kalemlerindendir. Diğer önemli ihraç malları ise hazır giyim, kahve, demir ve çelik, soda külü, balık, tütün ve petrol ürünleridir.</w:t>
      </w:r>
    </w:p>
    <w:p w:rsidR="00880399" w:rsidRPr="00880399" w:rsidRDefault="00880399" w:rsidP="00880399">
      <w:r w:rsidRPr="00880399">
        <w:t>Zambiya, Tanzanya ve Uganda Kenya'nın en çok ihracat yaptığı ülkelerdir. Bunlardan ayrı olarak ABD, Hollanda, Birleşik Krallık, Mısır, Pakistan ve Almanya ülke ihracatında üst sıralarda yer almaktadır.</w:t>
      </w:r>
      <w:r w:rsidRPr="00880399">
        <w:rPr>
          <w:i/>
          <w:iCs/>
        </w:rPr>
        <w:t>*Yansıtma verilerdir.  Kaynak: ITC Trademap</w:t>
      </w:r>
    </w:p>
    <w:p w:rsidR="00880399" w:rsidRPr="00880399" w:rsidRDefault="00880399" w:rsidP="00880399">
      <w:r w:rsidRPr="00880399">
        <w:t>Son on yılda ihracat içerisinde Afrika’nın payının artması Doğu ve Güney Afrika Ülkeleri Ortak Pazarı (Comesa) ve Doğu Afrika Topluluğu’nun (EAC) üyeleri arasında ticaretin arttığını göstermektedir. Tanzanya ve Uganda’nın da üyesi olduğu EAC en çok ihracat yapılan bögedir.</w:t>
      </w:r>
    </w:p>
    <w:p w:rsidR="00A17E9E" w:rsidRDefault="00A17E9E" w:rsidP="00A17E9E">
      <w:pPr>
        <w:pStyle w:val="Heading2"/>
      </w:pPr>
      <w:bookmarkStart w:id="23" w:name="_Toc491348176"/>
      <w:r w:rsidRPr="002464DA">
        <w:t>İhracat yaptığı başlıca ülkeler (1000$)</w:t>
      </w:r>
      <w:bookmarkEnd w:id="23"/>
    </w:p>
    <w:tbl>
      <w:tblPr>
        <w:tblStyle w:val="TableGrid"/>
        <w:tblW w:w="0" w:type="auto"/>
        <w:tblInd w:w="108" w:type="dxa"/>
        <w:tblLook w:val="04A0" w:firstRow="1" w:lastRow="0" w:firstColumn="1" w:lastColumn="0" w:noHBand="0" w:noVBand="1"/>
      </w:tblPr>
      <w:tblGrid>
        <w:gridCol w:w="664"/>
        <w:gridCol w:w="1950"/>
        <w:gridCol w:w="1950"/>
        <w:gridCol w:w="1950"/>
        <w:gridCol w:w="1950"/>
      </w:tblGrid>
      <w:tr w:rsidR="00880399" w:rsidRPr="000C78A7" w:rsidTr="00880399">
        <w:trPr>
          <w:trHeight w:val="280"/>
        </w:trPr>
        <w:tc>
          <w:tcPr>
            <w:tcW w:w="664" w:type="dxa"/>
            <w:vAlign w:val="center"/>
          </w:tcPr>
          <w:p w:rsidR="00880399" w:rsidRPr="000C78A7" w:rsidRDefault="00880399" w:rsidP="000C78A7">
            <w:pPr>
              <w:jc w:val="center"/>
              <w:rPr>
                <w:b/>
              </w:rPr>
            </w:pPr>
            <w:r w:rsidRPr="000C78A7">
              <w:rPr>
                <w:b/>
              </w:rPr>
              <w:t>SIRA</w:t>
            </w:r>
          </w:p>
        </w:tc>
        <w:tc>
          <w:tcPr>
            <w:tcW w:w="1950" w:type="dxa"/>
            <w:vAlign w:val="center"/>
          </w:tcPr>
          <w:p w:rsidR="00880399" w:rsidRPr="000C78A7" w:rsidRDefault="00880399" w:rsidP="000C78A7">
            <w:pPr>
              <w:jc w:val="center"/>
              <w:rPr>
                <w:b/>
              </w:rPr>
            </w:pPr>
            <w:r w:rsidRPr="000C78A7">
              <w:rPr>
                <w:b/>
              </w:rPr>
              <w:t>ÜLKE</w:t>
            </w:r>
          </w:p>
        </w:tc>
        <w:tc>
          <w:tcPr>
            <w:tcW w:w="1950" w:type="dxa"/>
            <w:vAlign w:val="center"/>
          </w:tcPr>
          <w:p w:rsidR="00880399" w:rsidRPr="000C78A7" w:rsidRDefault="00880399" w:rsidP="00880399">
            <w:pPr>
              <w:jc w:val="center"/>
              <w:rPr>
                <w:b/>
              </w:rPr>
            </w:pPr>
            <w:r w:rsidRPr="000C78A7">
              <w:rPr>
                <w:b/>
              </w:rPr>
              <w:t>2013</w:t>
            </w:r>
          </w:p>
        </w:tc>
        <w:tc>
          <w:tcPr>
            <w:tcW w:w="1950" w:type="dxa"/>
            <w:vAlign w:val="center"/>
          </w:tcPr>
          <w:p w:rsidR="00880399" w:rsidRPr="000C78A7" w:rsidRDefault="00880399" w:rsidP="00880399">
            <w:pPr>
              <w:jc w:val="center"/>
              <w:rPr>
                <w:b/>
              </w:rPr>
            </w:pPr>
            <w:r w:rsidRPr="000C78A7">
              <w:rPr>
                <w:b/>
              </w:rPr>
              <w:t>2014</w:t>
            </w:r>
          </w:p>
        </w:tc>
        <w:tc>
          <w:tcPr>
            <w:tcW w:w="1950" w:type="dxa"/>
            <w:vAlign w:val="center"/>
          </w:tcPr>
          <w:p w:rsidR="00880399" w:rsidRPr="000C78A7" w:rsidRDefault="00880399" w:rsidP="000C78A7">
            <w:pPr>
              <w:jc w:val="center"/>
              <w:rPr>
                <w:b/>
              </w:rPr>
            </w:pPr>
            <w:r>
              <w:rPr>
                <w:b/>
              </w:rPr>
              <w:t>2015</w:t>
            </w:r>
          </w:p>
        </w:tc>
      </w:tr>
      <w:tr w:rsidR="00880399" w:rsidRPr="000C78A7" w:rsidTr="00880399">
        <w:trPr>
          <w:trHeight w:val="280"/>
        </w:trPr>
        <w:tc>
          <w:tcPr>
            <w:tcW w:w="664" w:type="dxa"/>
            <w:vAlign w:val="center"/>
          </w:tcPr>
          <w:p w:rsidR="00880399" w:rsidRPr="000C78A7" w:rsidRDefault="00880399" w:rsidP="000C78A7">
            <w:pPr>
              <w:jc w:val="center"/>
              <w:rPr>
                <w:b/>
              </w:rPr>
            </w:pPr>
          </w:p>
        </w:tc>
        <w:tc>
          <w:tcPr>
            <w:tcW w:w="1950" w:type="dxa"/>
            <w:vAlign w:val="center"/>
          </w:tcPr>
          <w:p w:rsidR="00880399" w:rsidRPr="000C78A7" w:rsidRDefault="00880399" w:rsidP="000C78A7">
            <w:pPr>
              <w:jc w:val="center"/>
              <w:rPr>
                <w:b/>
              </w:rPr>
            </w:pPr>
            <w:r>
              <w:rPr>
                <w:b/>
              </w:rPr>
              <w:t>TOPLAM</w:t>
            </w:r>
          </w:p>
        </w:tc>
        <w:tc>
          <w:tcPr>
            <w:tcW w:w="1950" w:type="dxa"/>
            <w:vAlign w:val="center"/>
          </w:tcPr>
          <w:p w:rsidR="00880399" w:rsidRPr="000C78A7" w:rsidRDefault="00880399" w:rsidP="00880399">
            <w:pPr>
              <w:jc w:val="center"/>
              <w:rPr>
                <w:b/>
              </w:rPr>
            </w:pPr>
            <w:r>
              <w:rPr>
                <w:b/>
              </w:rPr>
              <w:t>5.875.855</w:t>
            </w:r>
          </w:p>
        </w:tc>
        <w:tc>
          <w:tcPr>
            <w:tcW w:w="1950" w:type="dxa"/>
            <w:vAlign w:val="center"/>
          </w:tcPr>
          <w:p w:rsidR="00880399" w:rsidRPr="000C78A7" w:rsidRDefault="00880399" w:rsidP="00880399">
            <w:pPr>
              <w:jc w:val="center"/>
              <w:rPr>
                <w:b/>
              </w:rPr>
            </w:pPr>
            <w:r>
              <w:rPr>
                <w:b/>
              </w:rPr>
              <w:t>6.574.230</w:t>
            </w:r>
          </w:p>
        </w:tc>
        <w:tc>
          <w:tcPr>
            <w:tcW w:w="1950" w:type="dxa"/>
            <w:vAlign w:val="center"/>
          </w:tcPr>
          <w:p w:rsidR="00880399" w:rsidRDefault="00880399" w:rsidP="000C78A7">
            <w:pPr>
              <w:jc w:val="center"/>
              <w:rPr>
                <w:b/>
              </w:rPr>
            </w:pPr>
            <w:r>
              <w:rPr>
                <w:b/>
              </w:rPr>
              <w:t>5.442.461</w:t>
            </w:r>
          </w:p>
        </w:tc>
      </w:tr>
      <w:tr w:rsidR="00880399" w:rsidRPr="000C78A7" w:rsidTr="00880399">
        <w:trPr>
          <w:trHeight w:val="262"/>
        </w:trPr>
        <w:tc>
          <w:tcPr>
            <w:tcW w:w="664" w:type="dxa"/>
            <w:vAlign w:val="center"/>
          </w:tcPr>
          <w:p w:rsidR="00880399" w:rsidRPr="000C78A7" w:rsidRDefault="00880399" w:rsidP="000C78A7">
            <w:pPr>
              <w:jc w:val="center"/>
              <w:rPr>
                <w:b/>
              </w:rPr>
            </w:pPr>
            <w:r w:rsidRPr="000C78A7">
              <w:rPr>
                <w:b/>
              </w:rPr>
              <w:t>1</w:t>
            </w:r>
          </w:p>
        </w:tc>
        <w:tc>
          <w:tcPr>
            <w:tcW w:w="1950" w:type="dxa"/>
            <w:vAlign w:val="center"/>
          </w:tcPr>
          <w:p w:rsidR="00880399" w:rsidRPr="000C78A7" w:rsidRDefault="00880399" w:rsidP="000C78A7">
            <w:pPr>
              <w:jc w:val="center"/>
            </w:pPr>
            <w:r>
              <w:t>ABD</w:t>
            </w:r>
          </w:p>
        </w:tc>
        <w:tc>
          <w:tcPr>
            <w:tcW w:w="1950" w:type="dxa"/>
            <w:vAlign w:val="center"/>
          </w:tcPr>
          <w:p w:rsidR="00880399" w:rsidRPr="000C78A7" w:rsidRDefault="00880399" w:rsidP="00880399">
            <w:pPr>
              <w:jc w:val="center"/>
            </w:pPr>
            <w:r>
              <w:t>466.430</w:t>
            </w:r>
          </w:p>
        </w:tc>
        <w:tc>
          <w:tcPr>
            <w:tcW w:w="1950" w:type="dxa"/>
            <w:vAlign w:val="center"/>
          </w:tcPr>
          <w:p w:rsidR="00880399" w:rsidRPr="000C78A7" w:rsidRDefault="00880399" w:rsidP="00880399">
            <w:pPr>
              <w:jc w:val="center"/>
            </w:pPr>
            <w:r>
              <w:t>609.179</w:t>
            </w:r>
          </w:p>
        </w:tc>
        <w:tc>
          <w:tcPr>
            <w:tcW w:w="1950" w:type="dxa"/>
            <w:vAlign w:val="center"/>
          </w:tcPr>
          <w:p w:rsidR="00880399" w:rsidRPr="000C78A7" w:rsidRDefault="00880399" w:rsidP="000C78A7">
            <w:pPr>
              <w:jc w:val="center"/>
            </w:pPr>
            <w:r>
              <w:t>586.528</w:t>
            </w:r>
          </w:p>
        </w:tc>
      </w:tr>
      <w:tr w:rsidR="00880399" w:rsidRPr="000C78A7" w:rsidTr="00880399">
        <w:trPr>
          <w:trHeight w:val="280"/>
        </w:trPr>
        <w:tc>
          <w:tcPr>
            <w:tcW w:w="664" w:type="dxa"/>
            <w:vAlign w:val="center"/>
          </w:tcPr>
          <w:p w:rsidR="00880399" w:rsidRPr="000C78A7" w:rsidRDefault="00880399" w:rsidP="000C78A7">
            <w:pPr>
              <w:jc w:val="center"/>
              <w:rPr>
                <w:b/>
              </w:rPr>
            </w:pPr>
            <w:r w:rsidRPr="000C78A7">
              <w:rPr>
                <w:b/>
              </w:rPr>
              <w:t>2</w:t>
            </w:r>
          </w:p>
        </w:tc>
        <w:tc>
          <w:tcPr>
            <w:tcW w:w="1950" w:type="dxa"/>
            <w:vAlign w:val="center"/>
          </w:tcPr>
          <w:p w:rsidR="00880399" w:rsidRPr="000C78A7" w:rsidRDefault="00880399" w:rsidP="000C78A7">
            <w:pPr>
              <w:jc w:val="center"/>
            </w:pPr>
            <w:r>
              <w:t>Uganda</w:t>
            </w:r>
          </w:p>
        </w:tc>
        <w:tc>
          <w:tcPr>
            <w:tcW w:w="1950" w:type="dxa"/>
            <w:vAlign w:val="center"/>
          </w:tcPr>
          <w:p w:rsidR="00880399" w:rsidRPr="000C78A7" w:rsidRDefault="00880399" w:rsidP="00880399">
            <w:pPr>
              <w:jc w:val="center"/>
            </w:pPr>
            <w:r>
              <w:t>562.819</w:t>
            </w:r>
          </w:p>
        </w:tc>
        <w:tc>
          <w:tcPr>
            <w:tcW w:w="1950" w:type="dxa"/>
            <w:vAlign w:val="center"/>
          </w:tcPr>
          <w:p w:rsidR="00880399" w:rsidRPr="000C78A7" w:rsidRDefault="00880399" w:rsidP="00880399">
            <w:pPr>
              <w:jc w:val="center"/>
            </w:pPr>
            <w:r>
              <w:t>593.888</w:t>
            </w:r>
          </w:p>
        </w:tc>
        <w:tc>
          <w:tcPr>
            <w:tcW w:w="1950" w:type="dxa"/>
            <w:vAlign w:val="center"/>
          </w:tcPr>
          <w:p w:rsidR="00880399" w:rsidRPr="000C78A7" w:rsidRDefault="00880399" w:rsidP="000C78A7">
            <w:pPr>
              <w:jc w:val="center"/>
            </w:pPr>
            <w:r>
              <w:t>554.530</w:t>
            </w:r>
          </w:p>
        </w:tc>
      </w:tr>
      <w:tr w:rsidR="00880399" w:rsidRPr="000C78A7" w:rsidTr="00880399">
        <w:trPr>
          <w:trHeight w:val="262"/>
        </w:trPr>
        <w:tc>
          <w:tcPr>
            <w:tcW w:w="664" w:type="dxa"/>
            <w:vAlign w:val="center"/>
          </w:tcPr>
          <w:p w:rsidR="00880399" w:rsidRPr="000C78A7" w:rsidRDefault="00880399" w:rsidP="000C78A7">
            <w:pPr>
              <w:jc w:val="center"/>
              <w:rPr>
                <w:b/>
              </w:rPr>
            </w:pPr>
            <w:r w:rsidRPr="000C78A7">
              <w:rPr>
                <w:b/>
              </w:rPr>
              <w:t>3</w:t>
            </w:r>
          </w:p>
        </w:tc>
        <w:tc>
          <w:tcPr>
            <w:tcW w:w="1950" w:type="dxa"/>
            <w:vAlign w:val="center"/>
          </w:tcPr>
          <w:p w:rsidR="00880399" w:rsidRPr="000C78A7" w:rsidRDefault="00880399" w:rsidP="000C78A7">
            <w:pPr>
              <w:jc w:val="center"/>
            </w:pPr>
            <w:r w:rsidRPr="000C78A7">
              <w:t>Hollanda</w:t>
            </w:r>
          </w:p>
        </w:tc>
        <w:tc>
          <w:tcPr>
            <w:tcW w:w="1950" w:type="dxa"/>
            <w:vAlign w:val="center"/>
          </w:tcPr>
          <w:p w:rsidR="00880399" w:rsidRPr="000C78A7" w:rsidRDefault="00880399" w:rsidP="00880399">
            <w:pPr>
              <w:jc w:val="center"/>
            </w:pPr>
            <w:r>
              <w:t>491.924</w:t>
            </w:r>
          </w:p>
        </w:tc>
        <w:tc>
          <w:tcPr>
            <w:tcW w:w="1950" w:type="dxa"/>
            <w:vAlign w:val="center"/>
          </w:tcPr>
          <w:p w:rsidR="00880399" w:rsidRPr="000C78A7" w:rsidRDefault="00880399" w:rsidP="00880399">
            <w:pPr>
              <w:jc w:val="center"/>
            </w:pPr>
            <w:r>
              <w:t>522.414</w:t>
            </w:r>
          </w:p>
        </w:tc>
        <w:tc>
          <w:tcPr>
            <w:tcW w:w="1950" w:type="dxa"/>
            <w:vAlign w:val="center"/>
          </w:tcPr>
          <w:p w:rsidR="00880399" w:rsidRPr="000C78A7" w:rsidRDefault="00880399" w:rsidP="000C78A7">
            <w:pPr>
              <w:jc w:val="center"/>
            </w:pPr>
            <w:r>
              <w:t>446.258</w:t>
            </w:r>
          </w:p>
        </w:tc>
      </w:tr>
      <w:tr w:rsidR="00880399" w:rsidRPr="000C78A7" w:rsidTr="00880399">
        <w:trPr>
          <w:trHeight w:val="280"/>
        </w:trPr>
        <w:tc>
          <w:tcPr>
            <w:tcW w:w="664" w:type="dxa"/>
            <w:vAlign w:val="center"/>
          </w:tcPr>
          <w:p w:rsidR="00880399" w:rsidRPr="000C78A7" w:rsidRDefault="00880399" w:rsidP="000C78A7">
            <w:pPr>
              <w:jc w:val="center"/>
              <w:rPr>
                <w:b/>
              </w:rPr>
            </w:pPr>
            <w:r w:rsidRPr="000C78A7">
              <w:rPr>
                <w:b/>
              </w:rPr>
              <w:t>4</w:t>
            </w:r>
          </w:p>
        </w:tc>
        <w:tc>
          <w:tcPr>
            <w:tcW w:w="1950" w:type="dxa"/>
            <w:vAlign w:val="center"/>
          </w:tcPr>
          <w:p w:rsidR="00880399" w:rsidRPr="000C78A7" w:rsidRDefault="00880399" w:rsidP="000C78A7">
            <w:pPr>
              <w:jc w:val="center"/>
            </w:pPr>
            <w:r>
              <w:t>Zambiya</w:t>
            </w:r>
          </w:p>
        </w:tc>
        <w:tc>
          <w:tcPr>
            <w:tcW w:w="1950" w:type="dxa"/>
            <w:vAlign w:val="center"/>
          </w:tcPr>
          <w:p w:rsidR="00880399" w:rsidRPr="000C78A7" w:rsidRDefault="00880399" w:rsidP="00880399">
            <w:pPr>
              <w:jc w:val="center"/>
            </w:pPr>
            <w:r>
              <w:t>712.503</w:t>
            </w:r>
          </w:p>
        </w:tc>
        <w:tc>
          <w:tcPr>
            <w:tcW w:w="1950" w:type="dxa"/>
            <w:vAlign w:val="center"/>
          </w:tcPr>
          <w:p w:rsidR="00880399" w:rsidRPr="000C78A7" w:rsidRDefault="00880399" w:rsidP="00880399">
            <w:pPr>
              <w:jc w:val="center"/>
            </w:pPr>
            <w:r>
              <w:t>773.821</w:t>
            </w:r>
          </w:p>
        </w:tc>
        <w:tc>
          <w:tcPr>
            <w:tcW w:w="1950" w:type="dxa"/>
            <w:vAlign w:val="center"/>
          </w:tcPr>
          <w:p w:rsidR="00880399" w:rsidRPr="000C78A7" w:rsidRDefault="00880399" w:rsidP="000C78A7">
            <w:pPr>
              <w:jc w:val="center"/>
            </w:pPr>
            <w:r>
              <w:t>411.892</w:t>
            </w:r>
          </w:p>
        </w:tc>
      </w:tr>
      <w:tr w:rsidR="00880399" w:rsidRPr="000C78A7" w:rsidTr="00880399">
        <w:trPr>
          <w:trHeight w:val="262"/>
        </w:trPr>
        <w:tc>
          <w:tcPr>
            <w:tcW w:w="664" w:type="dxa"/>
            <w:vAlign w:val="center"/>
          </w:tcPr>
          <w:p w:rsidR="00880399" w:rsidRPr="000C78A7" w:rsidRDefault="00880399" w:rsidP="000C78A7">
            <w:pPr>
              <w:jc w:val="center"/>
              <w:rPr>
                <w:b/>
              </w:rPr>
            </w:pPr>
            <w:r w:rsidRPr="000C78A7">
              <w:rPr>
                <w:b/>
              </w:rPr>
              <w:t>5</w:t>
            </w:r>
          </w:p>
        </w:tc>
        <w:tc>
          <w:tcPr>
            <w:tcW w:w="1950" w:type="dxa"/>
            <w:vAlign w:val="center"/>
          </w:tcPr>
          <w:p w:rsidR="00880399" w:rsidRPr="000C78A7" w:rsidRDefault="00880399" w:rsidP="000C78A7">
            <w:pPr>
              <w:jc w:val="center"/>
            </w:pPr>
            <w:r>
              <w:t>İngiltere</w:t>
            </w:r>
          </w:p>
        </w:tc>
        <w:tc>
          <w:tcPr>
            <w:tcW w:w="1950" w:type="dxa"/>
            <w:vAlign w:val="center"/>
          </w:tcPr>
          <w:p w:rsidR="00880399" w:rsidRPr="000C78A7" w:rsidRDefault="00880399" w:rsidP="00880399">
            <w:pPr>
              <w:jc w:val="center"/>
            </w:pPr>
            <w:r>
              <w:t>430.132</w:t>
            </w:r>
          </w:p>
        </w:tc>
        <w:tc>
          <w:tcPr>
            <w:tcW w:w="1950" w:type="dxa"/>
            <w:vAlign w:val="center"/>
          </w:tcPr>
          <w:p w:rsidR="00880399" w:rsidRPr="000C78A7" w:rsidRDefault="00880399" w:rsidP="00880399">
            <w:pPr>
              <w:jc w:val="center"/>
            </w:pPr>
            <w:r>
              <w:t>407.814</w:t>
            </w:r>
          </w:p>
        </w:tc>
        <w:tc>
          <w:tcPr>
            <w:tcW w:w="1950" w:type="dxa"/>
            <w:vAlign w:val="center"/>
          </w:tcPr>
          <w:p w:rsidR="00880399" w:rsidRPr="000C78A7" w:rsidRDefault="00880399" w:rsidP="000C78A7">
            <w:pPr>
              <w:jc w:val="center"/>
            </w:pPr>
            <w:r>
              <w:t>404.455</w:t>
            </w:r>
          </w:p>
        </w:tc>
      </w:tr>
    </w:tbl>
    <w:p w:rsidR="000C78A7" w:rsidRDefault="000C78A7" w:rsidP="000C78A7">
      <w:pPr>
        <w:pStyle w:val="Quote"/>
      </w:pPr>
      <w:r>
        <w:t>Kaynak: Trade Map</w:t>
      </w:r>
    </w:p>
    <w:p w:rsidR="00276023" w:rsidRDefault="00276023">
      <w:pPr>
        <w:rPr>
          <w:rFonts w:asciiTheme="majorHAnsi" w:eastAsiaTheme="majorEastAsia" w:hAnsiTheme="majorHAnsi" w:cstheme="majorBidi"/>
          <w:b/>
          <w:bCs/>
          <w:color w:val="4F81BD" w:themeColor="accent1"/>
          <w:sz w:val="26"/>
          <w:szCs w:val="26"/>
        </w:rPr>
      </w:pPr>
      <w:bookmarkStart w:id="24" w:name="_Toc491348177"/>
      <w:r>
        <w:br w:type="page"/>
      </w:r>
    </w:p>
    <w:p w:rsidR="004C12DB" w:rsidRDefault="00781D2B" w:rsidP="003415F1">
      <w:pPr>
        <w:pStyle w:val="Heading2"/>
      </w:pPr>
      <w:r>
        <w:lastRenderedPageBreak/>
        <w:t>Kenya’nın</w:t>
      </w:r>
      <w:r w:rsidRPr="002464DA">
        <w:t xml:space="preserve"> </w:t>
      </w:r>
      <w:r w:rsidR="00A17E9E" w:rsidRPr="00D66755">
        <w:t xml:space="preserve">İhracatında Başlıca Ürünler </w:t>
      </w:r>
      <w:r w:rsidR="00A17E9E" w:rsidRPr="002464DA">
        <w:t>(1000$)</w:t>
      </w:r>
      <w:bookmarkEnd w:id="24"/>
    </w:p>
    <w:tbl>
      <w:tblPr>
        <w:tblStyle w:val="TableGrid"/>
        <w:tblW w:w="0" w:type="auto"/>
        <w:tblInd w:w="108" w:type="dxa"/>
        <w:tblLook w:val="04A0" w:firstRow="1" w:lastRow="0" w:firstColumn="1" w:lastColumn="0" w:noHBand="0" w:noVBand="1"/>
      </w:tblPr>
      <w:tblGrid>
        <w:gridCol w:w="709"/>
        <w:gridCol w:w="4829"/>
        <w:gridCol w:w="1214"/>
        <w:gridCol w:w="1214"/>
        <w:gridCol w:w="1214"/>
      </w:tblGrid>
      <w:tr w:rsidR="00880399" w:rsidRPr="000C78A7" w:rsidTr="00880399">
        <w:tc>
          <w:tcPr>
            <w:tcW w:w="709" w:type="dxa"/>
          </w:tcPr>
          <w:p w:rsidR="00880399" w:rsidRPr="00DD2059" w:rsidRDefault="00880399" w:rsidP="00DD2059">
            <w:pPr>
              <w:rPr>
                <w:b/>
              </w:rPr>
            </w:pPr>
            <w:r>
              <w:rPr>
                <w:b/>
              </w:rPr>
              <w:t>GTİP</w:t>
            </w:r>
          </w:p>
        </w:tc>
        <w:tc>
          <w:tcPr>
            <w:tcW w:w="4829" w:type="dxa"/>
            <w:vAlign w:val="center"/>
          </w:tcPr>
          <w:p w:rsidR="00880399" w:rsidRPr="00DD2059" w:rsidRDefault="00880399" w:rsidP="00DD2059">
            <w:pPr>
              <w:rPr>
                <w:b/>
              </w:rPr>
            </w:pPr>
            <w:r w:rsidRPr="00DD2059">
              <w:rPr>
                <w:b/>
              </w:rPr>
              <w:t>ÜRÜN</w:t>
            </w:r>
          </w:p>
        </w:tc>
        <w:tc>
          <w:tcPr>
            <w:tcW w:w="1214" w:type="dxa"/>
            <w:vAlign w:val="center"/>
          </w:tcPr>
          <w:p w:rsidR="00880399" w:rsidRPr="00DD2059" w:rsidRDefault="00880399" w:rsidP="00DD2059">
            <w:pPr>
              <w:jc w:val="center"/>
              <w:rPr>
                <w:b/>
              </w:rPr>
            </w:pPr>
            <w:r>
              <w:rPr>
                <w:b/>
              </w:rPr>
              <w:t>2013</w:t>
            </w:r>
          </w:p>
        </w:tc>
        <w:tc>
          <w:tcPr>
            <w:tcW w:w="1214" w:type="dxa"/>
            <w:vAlign w:val="center"/>
          </w:tcPr>
          <w:p w:rsidR="00880399" w:rsidRPr="00DD2059" w:rsidRDefault="00880399" w:rsidP="00DD2059">
            <w:pPr>
              <w:jc w:val="center"/>
              <w:rPr>
                <w:b/>
              </w:rPr>
            </w:pPr>
            <w:r>
              <w:rPr>
                <w:b/>
              </w:rPr>
              <w:t>2014</w:t>
            </w:r>
          </w:p>
        </w:tc>
        <w:tc>
          <w:tcPr>
            <w:tcW w:w="1214" w:type="dxa"/>
            <w:vAlign w:val="center"/>
          </w:tcPr>
          <w:p w:rsidR="00880399" w:rsidRPr="00DD2059" w:rsidRDefault="00880399" w:rsidP="00DD2059">
            <w:pPr>
              <w:jc w:val="center"/>
              <w:rPr>
                <w:b/>
              </w:rPr>
            </w:pPr>
            <w:r>
              <w:rPr>
                <w:b/>
              </w:rPr>
              <w:t>2015</w:t>
            </w:r>
          </w:p>
        </w:tc>
      </w:tr>
      <w:tr w:rsidR="00880399" w:rsidRPr="000C78A7" w:rsidTr="00880399">
        <w:tc>
          <w:tcPr>
            <w:tcW w:w="709" w:type="dxa"/>
          </w:tcPr>
          <w:p w:rsidR="00880399" w:rsidRDefault="00880399" w:rsidP="00DD2059">
            <w:pPr>
              <w:rPr>
                <w:b/>
              </w:rPr>
            </w:pPr>
          </w:p>
        </w:tc>
        <w:tc>
          <w:tcPr>
            <w:tcW w:w="4829" w:type="dxa"/>
            <w:vAlign w:val="center"/>
          </w:tcPr>
          <w:p w:rsidR="00880399" w:rsidRPr="00DD2059" w:rsidRDefault="00880399" w:rsidP="00DD2059">
            <w:pPr>
              <w:rPr>
                <w:b/>
              </w:rPr>
            </w:pPr>
            <w:r>
              <w:rPr>
                <w:b/>
              </w:rPr>
              <w:t>TOPLAM</w:t>
            </w:r>
          </w:p>
        </w:tc>
        <w:tc>
          <w:tcPr>
            <w:tcW w:w="1214" w:type="dxa"/>
            <w:vAlign w:val="center"/>
          </w:tcPr>
          <w:p w:rsidR="00880399" w:rsidRDefault="00880399" w:rsidP="00DD2059">
            <w:pPr>
              <w:jc w:val="center"/>
              <w:rPr>
                <w:b/>
              </w:rPr>
            </w:pPr>
            <w:r>
              <w:rPr>
                <w:b/>
              </w:rPr>
              <w:t>5.536.953</w:t>
            </w:r>
          </w:p>
        </w:tc>
        <w:tc>
          <w:tcPr>
            <w:tcW w:w="1214" w:type="dxa"/>
            <w:vAlign w:val="center"/>
          </w:tcPr>
          <w:p w:rsidR="00880399" w:rsidRDefault="00880399" w:rsidP="00DD2059">
            <w:pPr>
              <w:jc w:val="center"/>
              <w:rPr>
                <w:b/>
              </w:rPr>
            </w:pPr>
            <w:r>
              <w:rPr>
                <w:b/>
              </w:rPr>
              <w:t>6.574.230</w:t>
            </w:r>
          </w:p>
        </w:tc>
        <w:tc>
          <w:tcPr>
            <w:tcW w:w="1214" w:type="dxa"/>
            <w:vAlign w:val="center"/>
          </w:tcPr>
          <w:p w:rsidR="00880399" w:rsidRDefault="00880399" w:rsidP="00DD2059">
            <w:pPr>
              <w:jc w:val="center"/>
              <w:rPr>
                <w:b/>
              </w:rPr>
            </w:pPr>
            <w:r>
              <w:rPr>
                <w:b/>
              </w:rPr>
              <w:t>5.442.461</w:t>
            </w:r>
          </w:p>
        </w:tc>
      </w:tr>
      <w:tr w:rsidR="00880399" w:rsidRPr="000C78A7" w:rsidTr="00880399">
        <w:tc>
          <w:tcPr>
            <w:tcW w:w="709" w:type="dxa"/>
            <w:vAlign w:val="center"/>
          </w:tcPr>
          <w:p w:rsidR="00880399" w:rsidRPr="00880399" w:rsidRDefault="00880399">
            <w:pPr>
              <w:pStyle w:val="NormalWeb"/>
              <w:spacing w:before="0" w:beforeAutospacing="0" w:after="150" w:afterAutospacing="0" w:line="300" w:lineRule="atLeast"/>
              <w:rPr>
                <w:rFonts w:ascii="Calibri" w:hAnsi="Calibri" w:cs="Calibri"/>
                <w:sz w:val="22"/>
                <w:szCs w:val="20"/>
              </w:rPr>
            </w:pPr>
            <w:r w:rsidRPr="00880399">
              <w:rPr>
                <w:rFonts w:ascii="Calibri" w:hAnsi="Calibri" w:cs="Calibri"/>
                <w:sz w:val="22"/>
                <w:szCs w:val="20"/>
              </w:rPr>
              <w:t>0902</w:t>
            </w:r>
          </w:p>
        </w:tc>
        <w:tc>
          <w:tcPr>
            <w:tcW w:w="4829" w:type="dxa"/>
            <w:vAlign w:val="center"/>
          </w:tcPr>
          <w:p w:rsidR="00880399" w:rsidRPr="00880399" w:rsidRDefault="00880399">
            <w:pPr>
              <w:pStyle w:val="NormalWeb"/>
              <w:spacing w:before="0" w:beforeAutospacing="0" w:after="150" w:afterAutospacing="0" w:line="300" w:lineRule="atLeast"/>
              <w:rPr>
                <w:rFonts w:ascii="Calibri" w:hAnsi="Calibri" w:cs="Calibri"/>
                <w:sz w:val="22"/>
                <w:szCs w:val="20"/>
              </w:rPr>
            </w:pPr>
            <w:r w:rsidRPr="00880399">
              <w:rPr>
                <w:rFonts w:ascii="Calibri" w:hAnsi="Calibri" w:cs="Calibri"/>
                <w:sz w:val="22"/>
                <w:szCs w:val="20"/>
              </w:rPr>
              <w:t>Çay</w:t>
            </w:r>
          </w:p>
        </w:tc>
        <w:tc>
          <w:tcPr>
            <w:tcW w:w="1214" w:type="dxa"/>
            <w:vAlign w:val="center"/>
          </w:tcPr>
          <w:p w:rsidR="00880399" w:rsidRPr="00880399" w:rsidRDefault="00880399">
            <w:pPr>
              <w:pStyle w:val="NormalWeb"/>
              <w:spacing w:before="0" w:beforeAutospacing="0" w:after="150" w:afterAutospacing="0" w:line="300" w:lineRule="atLeast"/>
              <w:rPr>
                <w:rFonts w:ascii="Calibri" w:hAnsi="Calibri" w:cs="Calibri"/>
                <w:sz w:val="22"/>
                <w:szCs w:val="20"/>
              </w:rPr>
            </w:pPr>
            <w:r w:rsidRPr="00880399">
              <w:rPr>
                <w:rFonts w:ascii="Calibri" w:hAnsi="Calibri" w:cs="Calibri"/>
                <w:sz w:val="22"/>
                <w:szCs w:val="20"/>
              </w:rPr>
              <w:t>1,218,162</w:t>
            </w:r>
          </w:p>
        </w:tc>
        <w:tc>
          <w:tcPr>
            <w:tcW w:w="1214" w:type="dxa"/>
            <w:vAlign w:val="center"/>
          </w:tcPr>
          <w:p w:rsidR="00880399" w:rsidRPr="00880399" w:rsidRDefault="00880399">
            <w:pPr>
              <w:pStyle w:val="NormalWeb"/>
              <w:spacing w:before="0" w:beforeAutospacing="0" w:after="150" w:afterAutospacing="0" w:line="300" w:lineRule="atLeast"/>
              <w:rPr>
                <w:rFonts w:ascii="Calibri" w:hAnsi="Calibri" w:cs="Calibri"/>
                <w:sz w:val="22"/>
                <w:szCs w:val="20"/>
              </w:rPr>
            </w:pPr>
            <w:r w:rsidRPr="00880399">
              <w:rPr>
                <w:rFonts w:ascii="Calibri" w:hAnsi="Calibri" w:cs="Calibri"/>
                <w:sz w:val="22"/>
                <w:szCs w:val="20"/>
              </w:rPr>
              <w:t>1,158,764</w:t>
            </w:r>
          </w:p>
        </w:tc>
        <w:tc>
          <w:tcPr>
            <w:tcW w:w="1214" w:type="dxa"/>
            <w:vAlign w:val="center"/>
          </w:tcPr>
          <w:p w:rsidR="00880399" w:rsidRPr="00880399" w:rsidRDefault="00880399">
            <w:pPr>
              <w:pStyle w:val="NormalWeb"/>
              <w:spacing w:before="0" w:beforeAutospacing="0" w:after="150" w:afterAutospacing="0" w:line="300" w:lineRule="atLeast"/>
              <w:rPr>
                <w:rFonts w:ascii="Calibri" w:hAnsi="Calibri" w:cs="Calibri"/>
                <w:sz w:val="22"/>
                <w:szCs w:val="20"/>
              </w:rPr>
            </w:pPr>
            <w:r w:rsidRPr="00880399">
              <w:rPr>
                <w:rFonts w:ascii="Calibri" w:hAnsi="Calibri" w:cs="Calibri"/>
                <w:sz w:val="22"/>
                <w:szCs w:val="20"/>
              </w:rPr>
              <w:t>1,154,205</w:t>
            </w:r>
          </w:p>
        </w:tc>
      </w:tr>
      <w:tr w:rsidR="00880399" w:rsidRPr="000C78A7" w:rsidTr="00880399">
        <w:tc>
          <w:tcPr>
            <w:tcW w:w="709" w:type="dxa"/>
            <w:vAlign w:val="center"/>
          </w:tcPr>
          <w:p w:rsidR="00880399" w:rsidRPr="00880399" w:rsidRDefault="00880399">
            <w:pPr>
              <w:pStyle w:val="NormalWeb"/>
              <w:spacing w:before="0" w:beforeAutospacing="0" w:after="150" w:afterAutospacing="0" w:line="300" w:lineRule="atLeast"/>
              <w:rPr>
                <w:rFonts w:ascii="Calibri" w:hAnsi="Calibri" w:cs="Calibri"/>
                <w:sz w:val="22"/>
                <w:szCs w:val="20"/>
              </w:rPr>
            </w:pPr>
            <w:r w:rsidRPr="00880399">
              <w:rPr>
                <w:rFonts w:ascii="Calibri" w:hAnsi="Calibri" w:cs="Calibri"/>
                <w:sz w:val="22"/>
                <w:szCs w:val="20"/>
              </w:rPr>
              <w:t>0603</w:t>
            </w:r>
          </w:p>
        </w:tc>
        <w:tc>
          <w:tcPr>
            <w:tcW w:w="4829" w:type="dxa"/>
            <w:vAlign w:val="center"/>
          </w:tcPr>
          <w:p w:rsidR="00880399" w:rsidRPr="00880399" w:rsidRDefault="00880399">
            <w:pPr>
              <w:pStyle w:val="NormalWeb"/>
              <w:spacing w:before="0" w:beforeAutospacing="0" w:after="150" w:afterAutospacing="0" w:line="300" w:lineRule="atLeast"/>
              <w:rPr>
                <w:rFonts w:ascii="Calibri" w:hAnsi="Calibri" w:cs="Calibri"/>
                <w:sz w:val="22"/>
                <w:szCs w:val="20"/>
              </w:rPr>
            </w:pPr>
            <w:r w:rsidRPr="00880399">
              <w:rPr>
                <w:rFonts w:ascii="Calibri" w:hAnsi="Calibri" w:cs="Calibri"/>
                <w:sz w:val="22"/>
                <w:szCs w:val="20"/>
              </w:rPr>
              <w:t>               </w:t>
            </w:r>
          </w:p>
          <w:p w:rsidR="00880399" w:rsidRPr="00880399" w:rsidRDefault="00880399">
            <w:pPr>
              <w:pStyle w:val="NormalWeb"/>
              <w:spacing w:before="0" w:beforeAutospacing="0" w:after="150" w:afterAutospacing="0" w:line="300" w:lineRule="atLeast"/>
              <w:rPr>
                <w:rFonts w:ascii="Calibri" w:hAnsi="Calibri" w:cs="Calibri"/>
                <w:sz w:val="22"/>
                <w:szCs w:val="20"/>
              </w:rPr>
            </w:pPr>
            <w:r w:rsidRPr="00880399">
              <w:rPr>
                <w:rFonts w:ascii="Calibri" w:hAnsi="Calibri" w:cs="Calibri"/>
                <w:sz w:val="22"/>
                <w:szCs w:val="20"/>
              </w:rPr>
              <w:t>Buket yapmaya elverişli veya süs amacına uygun kesme çiçek ve çiçek tomurcukları</w:t>
            </w:r>
          </w:p>
        </w:tc>
        <w:tc>
          <w:tcPr>
            <w:tcW w:w="1214" w:type="dxa"/>
            <w:vAlign w:val="center"/>
          </w:tcPr>
          <w:p w:rsidR="00880399" w:rsidRPr="00880399" w:rsidRDefault="00880399">
            <w:pPr>
              <w:pStyle w:val="NormalWeb"/>
              <w:spacing w:before="0" w:beforeAutospacing="0" w:after="150" w:afterAutospacing="0" w:line="300" w:lineRule="atLeast"/>
              <w:rPr>
                <w:rFonts w:ascii="Calibri" w:hAnsi="Calibri" w:cs="Calibri"/>
                <w:sz w:val="22"/>
                <w:szCs w:val="20"/>
              </w:rPr>
            </w:pPr>
            <w:r w:rsidRPr="00880399">
              <w:rPr>
                <w:rFonts w:ascii="Calibri" w:hAnsi="Calibri" w:cs="Calibri"/>
                <w:sz w:val="22"/>
                <w:szCs w:val="20"/>
              </w:rPr>
              <w:t>479,998</w:t>
            </w:r>
          </w:p>
        </w:tc>
        <w:tc>
          <w:tcPr>
            <w:tcW w:w="1214" w:type="dxa"/>
            <w:vAlign w:val="center"/>
          </w:tcPr>
          <w:p w:rsidR="00880399" w:rsidRPr="00880399" w:rsidRDefault="00880399">
            <w:pPr>
              <w:pStyle w:val="NormalWeb"/>
              <w:spacing w:before="0" w:beforeAutospacing="0" w:after="150" w:afterAutospacing="0" w:line="300" w:lineRule="atLeast"/>
              <w:rPr>
                <w:rFonts w:ascii="Calibri" w:hAnsi="Calibri" w:cs="Calibri"/>
                <w:sz w:val="22"/>
                <w:szCs w:val="20"/>
              </w:rPr>
            </w:pPr>
            <w:r w:rsidRPr="00880399">
              <w:rPr>
                <w:rFonts w:ascii="Calibri" w:hAnsi="Calibri" w:cs="Calibri"/>
                <w:sz w:val="22"/>
                <w:szCs w:val="20"/>
              </w:rPr>
              <w:t>719,315</w:t>
            </w:r>
          </w:p>
        </w:tc>
        <w:tc>
          <w:tcPr>
            <w:tcW w:w="1214" w:type="dxa"/>
            <w:vAlign w:val="center"/>
          </w:tcPr>
          <w:p w:rsidR="00880399" w:rsidRPr="00880399" w:rsidRDefault="00880399">
            <w:pPr>
              <w:pStyle w:val="NormalWeb"/>
              <w:spacing w:before="0" w:beforeAutospacing="0" w:after="150" w:afterAutospacing="0" w:line="300" w:lineRule="atLeast"/>
              <w:rPr>
                <w:rFonts w:ascii="Calibri" w:hAnsi="Calibri" w:cs="Calibri"/>
                <w:sz w:val="22"/>
                <w:szCs w:val="20"/>
              </w:rPr>
            </w:pPr>
            <w:r w:rsidRPr="00880399">
              <w:rPr>
                <w:rFonts w:ascii="Calibri" w:hAnsi="Calibri" w:cs="Calibri"/>
                <w:sz w:val="22"/>
                <w:szCs w:val="20"/>
              </w:rPr>
              <w:t>653,745</w:t>
            </w:r>
          </w:p>
        </w:tc>
      </w:tr>
      <w:tr w:rsidR="00880399" w:rsidRPr="000C78A7" w:rsidTr="00880399">
        <w:tc>
          <w:tcPr>
            <w:tcW w:w="709" w:type="dxa"/>
            <w:vAlign w:val="center"/>
          </w:tcPr>
          <w:p w:rsidR="00880399" w:rsidRPr="00880399" w:rsidRDefault="00880399">
            <w:pPr>
              <w:pStyle w:val="NormalWeb"/>
              <w:spacing w:before="0" w:beforeAutospacing="0" w:after="150" w:afterAutospacing="0" w:line="300" w:lineRule="atLeast"/>
              <w:rPr>
                <w:rFonts w:ascii="Calibri" w:hAnsi="Calibri" w:cs="Calibri"/>
                <w:sz w:val="22"/>
                <w:szCs w:val="20"/>
              </w:rPr>
            </w:pPr>
            <w:r w:rsidRPr="00880399">
              <w:rPr>
                <w:rFonts w:ascii="Calibri" w:hAnsi="Calibri" w:cs="Calibri"/>
                <w:sz w:val="22"/>
                <w:szCs w:val="20"/>
              </w:rPr>
              <w:t>2710</w:t>
            </w:r>
          </w:p>
        </w:tc>
        <w:tc>
          <w:tcPr>
            <w:tcW w:w="4829" w:type="dxa"/>
            <w:vAlign w:val="center"/>
          </w:tcPr>
          <w:p w:rsidR="00880399" w:rsidRPr="00880399" w:rsidRDefault="00880399">
            <w:pPr>
              <w:pStyle w:val="NormalWeb"/>
              <w:spacing w:before="0" w:beforeAutospacing="0" w:after="150" w:afterAutospacing="0" w:line="300" w:lineRule="atLeast"/>
              <w:rPr>
                <w:rFonts w:ascii="Calibri" w:hAnsi="Calibri" w:cs="Calibri"/>
                <w:sz w:val="22"/>
                <w:szCs w:val="20"/>
              </w:rPr>
            </w:pPr>
            <w:r w:rsidRPr="00880399">
              <w:rPr>
                <w:rFonts w:ascii="Calibri" w:hAnsi="Calibri" w:cs="Calibri"/>
                <w:sz w:val="22"/>
                <w:szCs w:val="20"/>
              </w:rPr>
              <w:t>Petrol yağları ve bitümenli minerallerden elde edilen yağlar</w:t>
            </w:r>
          </w:p>
        </w:tc>
        <w:tc>
          <w:tcPr>
            <w:tcW w:w="1214" w:type="dxa"/>
            <w:vAlign w:val="center"/>
          </w:tcPr>
          <w:p w:rsidR="00880399" w:rsidRPr="00880399" w:rsidRDefault="00880399">
            <w:pPr>
              <w:pStyle w:val="NormalWeb"/>
              <w:spacing w:before="0" w:beforeAutospacing="0" w:after="150" w:afterAutospacing="0" w:line="300" w:lineRule="atLeast"/>
              <w:rPr>
                <w:rFonts w:ascii="Calibri" w:hAnsi="Calibri" w:cs="Calibri"/>
                <w:sz w:val="22"/>
                <w:szCs w:val="20"/>
              </w:rPr>
            </w:pPr>
            <w:r w:rsidRPr="00880399">
              <w:rPr>
                <w:rFonts w:ascii="Calibri" w:hAnsi="Calibri" w:cs="Calibri"/>
                <w:sz w:val="22"/>
                <w:szCs w:val="20"/>
              </w:rPr>
              <w:t>203,665</w:t>
            </w:r>
          </w:p>
        </w:tc>
        <w:tc>
          <w:tcPr>
            <w:tcW w:w="1214" w:type="dxa"/>
            <w:vAlign w:val="center"/>
          </w:tcPr>
          <w:p w:rsidR="00880399" w:rsidRPr="00880399" w:rsidRDefault="00880399">
            <w:pPr>
              <w:pStyle w:val="NormalWeb"/>
              <w:spacing w:before="0" w:beforeAutospacing="0" w:after="150" w:afterAutospacing="0" w:line="300" w:lineRule="atLeast"/>
              <w:rPr>
                <w:rFonts w:ascii="Calibri" w:hAnsi="Calibri" w:cs="Calibri"/>
                <w:sz w:val="22"/>
                <w:szCs w:val="20"/>
              </w:rPr>
            </w:pPr>
            <w:r w:rsidRPr="00880399">
              <w:rPr>
                <w:rFonts w:ascii="Calibri" w:hAnsi="Calibri" w:cs="Calibri"/>
                <w:sz w:val="22"/>
                <w:szCs w:val="20"/>
              </w:rPr>
              <w:t>755,573</w:t>
            </w:r>
          </w:p>
        </w:tc>
        <w:tc>
          <w:tcPr>
            <w:tcW w:w="1214" w:type="dxa"/>
            <w:vAlign w:val="center"/>
          </w:tcPr>
          <w:p w:rsidR="00880399" w:rsidRPr="00880399" w:rsidRDefault="00880399">
            <w:pPr>
              <w:pStyle w:val="NormalWeb"/>
              <w:spacing w:before="0" w:beforeAutospacing="0" w:after="150" w:afterAutospacing="0" w:line="300" w:lineRule="atLeast"/>
              <w:rPr>
                <w:rFonts w:ascii="Calibri" w:hAnsi="Calibri" w:cs="Calibri"/>
                <w:sz w:val="22"/>
                <w:szCs w:val="20"/>
              </w:rPr>
            </w:pPr>
            <w:r w:rsidRPr="00880399">
              <w:rPr>
                <w:rFonts w:ascii="Calibri" w:hAnsi="Calibri" w:cs="Calibri"/>
                <w:sz w:val="22"/>
                <w:szCs w:val="20"/>
              </w:rPr>
              <w:t>413,904</w:t>
            </w:r>
          </w:p>
        </w:tc>
      </w:tr>
      <w:tr w:rsidR="00880399" w:rsidRPr="000C78A7" w:rsidTr="00880399">
        <w:tc>
          <w:tcPr>
            <w:tcW w:w="709" w:type="dxa"/>
            <w:vAlign w:val="center"/>
          </w:tcPr>
          <w:p w:rsidR="00880399" w:rsidRPr="00880399" w:rsidRDefault="00880399">
            <w:pPr>
              <w:pStyle w:val="NormalWeb"/>
              <w:spacing w:before="0" w:beforeAutospacing="0" w:after="150" w:afterAutospacing="0" w:line="300" w:lineRule="atLeast"/>
              <w:rPr>
                <w:rFonts w:ascii="Calibri" w:hAnsi="Calibri" w:cs="Calibri"/>
                <w:sz w:val="22"/>
                <w:szCs w:val="20"/>
              </w:rPr>
            </w:pPr>
            <w:r w:rsidRPr="00880399">
              <w:rPr>
                <w:rFonts w:ascii="Calibri" w:hAnsi="Calibri" w:cs="Calibri"/>
                <w:sz w:val="22"/>
                <w:szCs w:val="20"/>
              </w:rPr>
              <w:t>0901</w:t>
            </w:r>
          </w:p>
        </w:tc>
        <w:tc>
          <w:tcPr>
            <w:tcW w:w="4829" w:type="dxa"/>
            <w:vAlign w:val="center"/>
          </w:tcPr>
          <w:p w:rsidR="00880399" w:rsidRPr="00880399" w:rsidRDefault="00880399">
            <w:pPr>
              <w:pStyle w:val="NormalWeb"/>
              <w:spacing w:before="0" w:beforeAutospacing="0" w:after="150" w:afterAutospacing="0" w:line="300" w:lineRule="atLeast"/>
              <w:rPr>
                <w:rFonts w:ascii="Calibri" w:hAnsi="Calibri" w:cs="Calibri"/>
                <w:sz w:val="22"/>
                <w:szCs w:val="20"/>
              </w:rPr>
            </w:pPr>
            <w:r w:rsidRPr="00880399">
              <w:rPr>
                <w:rFonts w:ascii="Calibri" w:hAnsi="Calibri" w:cs="Calibri"/>
                <w:sz w:val="22"/>
                <w:szCs w:val="20"/>
              </w:rPr>
              <w:t>Kahve, kahve kabuk ve kapçıkları, içinde herhangi bir oranda kahve bulunup kahve yerine kullanılan ürünler</w:t>
            </w:r>
          </w:p>
        </w:tc>
        <w:tc>
          <w:tcPr>
            <w:tcW w:w="1214" w:type="dxa"/>
            <w:vAlign w:val="center"/>
          </w:tcPr>
          <w:p w:rsidR="00880399" w:rsidRPr="00880399" w:rsidRDefault="00880399">
            <w:pPr>
              <w:pStyle w:val="NormalWeb"/>
              <w:spacing w:before="0" w:beforeAutospacing="0" w:after="150" w:afterAutospacing="0" w:line="300" w:lineRule="atLeast"/>
              <w:rPr>
                <w:rFonts w:ascii="Calibri" w:hAnsi="Calibri" w:cs="Calibri"/>
                <w:sz w:val="22"/>
                <w:szCs w:val="20"/>
              </w:rPr>
            </w:pPr>
            <w:r w:rsidRPr="00880399">
              <w:rPr>
                <w:rFonts w:ascii="Calibri" w:hAnsi="Calibri" w:cs="Calibri"/>
                <w:sz w:val="22"/>
                <w:szCs w:val="20"/>
              </w:rPr>
              <w:t>190,805</w:t>
            </w:r>
          </w:p>
        </w:tc>
        <w:tc>
          <w:tcPr>
            <w:tcW w:w="1214" w:type="dxa"/>
            <w:vAlign w:val="center"/>
          </w:tcPr>
          <w:p w:rsidR="00880399" w:rsidRPr="00880399" w:rsidRDefault="00880399">
            <w:pPr>
              <w:pStyle w:val="NormalWeb"/>
              <w:spacing w:before="0" w:beforeAutospacing="0" w:after="150" w:afterAutospacing="0" w:line="300" w:lineRule="atLeast"/>
              <w:rPr>
                <w:rFonts w:ascii="Calibri" w:hAnsi="Calibri" w:cs="Calibri"/>
                <w:sz w:val="22"/>
                <w:szCs w:val="20"/>
              </w:rPr>
            </w:pPr>
            <w:r w:rsidRPr="00880399">
              <w:rPr>
                <w:rFonts w:ascii="Calibri" w:hAnsi="Calibri" w:cs="Calibri"/>
                <w:sz w:val="22"/>
                <w:szCs w:val="20"/>
              </w:rPr>
              <w:t>237,178</w:t>
            </w:r>
          </w:p>
        </w:tc>
        <w:tc>
          <w:tcPr>
            <w:tcW w:w="1214" w:type="dxa"/>
            <w:vAlign w:val="center"/>
          </w:tcPr>
          <w:p w:rsidR="00880399" w:rsidRPr="00880399" w:rsidRDefault="00880399">
            <w:pPr>
              <w:pStyle w:val="NormalWeb"/>
              <w:spacing w:before="0" w:beforeAutospacing="0" w:after="150" w:afterAutospacing="0" w:line="300" w:lineRule="atLeast"/>
              <w:rPr>
                <w:rFonts w:ascii="Calibri" w:hAnsi="Calibri" w:cs="Calibri"/>
                <w:sz w:val="22"/>
                <w:szCs w:val="20"/>
              </w:rPr>
            </w:pPr>
            <w:r w:rsidRPr="00880399">
              <w:rPr>
                <w:rFonts w:ascii="Calibri" w:hAnsi="Calibri" w:cs="Calibri"/>
                <w:sz w:val="22"/>
                <w:szCs w:val="20"/>
              </w:rPr>
              <w:t>238,307</w:t>
            </w:r>
          </w:p>
        </w:tc>
      </w:tr>
      <w:tr w:rsidR="00880399" w:rsidRPr="000C78A7" w:rsidTr="00880399">
        <w:tc>
          <w:tcPr>
            <w:tcW w:w="709" w:type="dxa"/>
            <w:vAlign w:val="center"/>
          </w:tcPr>
          <w:p w:rsidR="00880399" w:rsidRPr="00880399" w:rsidRDefault="00880399">
            <w:pPr>
              <w:pStyle w:val="NormalWeb"/>
              <w:spacing w:before="0" w:beforeAutospacing="0" w:after="150" w:afterAutospacing="0" w:line="300" w:lineRule="atLeast"/>
              <w:rPr>
                <w:rFonts w:ascii="Calibri" w:hAnsi="Calibri" w:cs="Calibri"/>
                <w:sz w:val="22"/>
                <w:szCs w:val="20"/>
              </w:rPr>
            </w:pPr>
            <w:r w:rsidRPr="00880399">
              <w:rPr>
                <w:rFonts w:ascii="Calibri" w:hAnsi="Calibri" w:cs="Calibri"/>
                <w:sz w:val="22"/>
                <w:szCs w:val="20"/>
              </w:rPr>
              <w:t>0708</w:t>
            </w:r>
          </w:p>
        </w:tc>
        <w:tc>
          <w:tcPr>
            <w:tcW w:w="4829" w:type="dxa"/>
            <w:vAlign w:val="center"/>
          </w:tcPr>
          <w:p w:rsidR="00880399" w:rsidRPr="00880399" w:rsidRDefault="00880399">
            <w:pPr>
              <w:pStyle w:val="NormalWeb"/>
              <w:spacing w:before="0" w:beforeAutospacing="0" w:after="150" w:afterAutospacing="0" w:line="300" w:lineRule="atLeast"/>
              <w:rPr>
                <w:rFonts w:ascii="Calibri" w:hAnsi="Calibri" w:cs="Calibri"/>
                <w:sz w:val="22"/>
                <w:szCs w:val="20"/>
              </w:rPr>
            </w:pPr>
            <w:r w:rsidRPr="00880399">
              <w:rPr>
                <w:rFonts w:ascii="Calibri" w:hAnsi="Calibri" w:cs="Calibri"/>
                <w:sz w:val="22"/>
                <w:szCs w:val="20"/>
              </w:rPr>
              <w:t>Kahve, kahve kabuk ve kapçıkları, içinde herhangi bir oranda kahve bulunup kahve yerine kullanılan ürünler</w:t>
            </w:r>
          </w:p>
        </w:tc>
        <w:tc>
          <w:tcPr>
            <w:tcW w:w="1214" w:type="dxa"/>
            <w:vAlign w:val="center"/>
          </w:tcPr>
          <w:p w:rsidR="00880399" w:rsidRPr="00880399" w:rsidRDefault="00880399">
            <w:pPr>
              <w:pStyle w:val="NormalWeb"/>
              <w:spacing w:before="0" w:beforeAutospacing="0" w:after="150" w:afterAutospacing="0" w:line="300" w:lineRule="atLeast"/>
              <w:rPr>
                <w:rFonts w:ascii="Calibri" w:hAnsi="Calibri" w:cs="Calibri"/>
                <w:sz w:val="22"/>
                <w:szCs w:val="20"/>
              </w:rPr>
            </w:pPr>
            <w:r w:rsidRPr="00880399">
              <w:rPr>
                <w:rFonts w:ascii="Calibri" w:hAnsi="Calibri" w:cs="Calibri"/>
                <w:sz w:val="22"/>
                <w:szCs w:val="20"/>
              </w:rPr>
              <w:t>126,707</w:t>
            </w:r>
          </w:p>
        </w:tc>
        <w:tc>
          <w:tcPr>
            <w:tcW w:w="1214" w:type="dxa"/>
            <w:vAlign w:val="center"/>
          </w:tcPr>
          <w:p w:rsidR="00880399" w:rsidRPr="00880399" w:rsidRDefault="00880399">
            <w:pPr>
              <w:pStyle w:val="NormalWeb"/>
              <w:spacing w:before="0" w:beforeAutospacing="0" w:after="150" w:afterAutospacing="0" w:line="300" w:lineRule="atLeast"/>
              <w:rPr>
                <w:rFonts w:ascii="Calibri" w:hAnsi="Calibri" w:cs="Calibri"/>
                <w:sz w:val="22"/>
                <w:szCs w:val="20"/>
              </w:rPr>
            </w:pPr>
            <w:r w:rsidRPr="00880399">
              <w:rPr>
                <w:rFonts w:ascii="Calibri" w:hAnsi="Calibri" w:cs="Calibri"/>
                <w:sz w:val="22"/>
                <w:szCs w:val="20"/>
              </w:rPr>
              <w:t>179,680</w:t>
            </w:r>
          </w:p>
        </w:tc>
        <w:tc>
          <w:tcPr>
            <w:tcW w:w="1214" w:type="dxa"/>
            <w:vAlign w:val="center"/>
          </w:tcPr>
          <w:p w:rsidR="00880399" w:rsidRPr="00880399" w:rsidRDefault="00880399">
            <w:pPr>
              <w:pStyle w:val="NormalWeb"/>
              <w:spacing w:before="0" w:beforeAutospacing="0" w:after="150" w:afterAutospacing="0" w:line="300" w:lineRule="atLeast"/>
              <w:rPr>
                <w:rFonts w:ascii="Calibri" w:hAnsi="Calibri" w:cs="Calibri"/>
                <w:sz w:val="22"/>
                <w:szCs w:val="20"/>
              </w:rPr>
            </w:pPr>
            <w:r w:rsidRPr="00880399">
              <w:rPr>
                <w:rFonts w:ascii="Calibri" w:hAnsi="Calibri" w:cs="Calibri"/>
                <w:sz w:val="22"/>
                <w:szCs w:val="20"/>
              </w:rPr>
              <w:t>159,292</w:t>
            </w:r>
          </w:p>
        </w:tc>
      </w:tr>
    </w:tbl>
    <w:p w:rsidR="00DD2059" w:rsidRDefault="00DD2059" w:rsidP="00DD2059">
      <w:pPr>
        <w:pStyle w:val="Quote"/>
      </w:pPr>
      <w:r>
        <w:t>Kaynak: Trade Map</w:t>
      </w:r>
    </w:p>
    <w:p w:rsidR="004C12DB" w:rsidRPr="00363AF3" w:rsidRDefault="004C12DB" w:rsidP="003415F1">
      <w:pPr>
        <w:pStyle w:val="Heading2"/>
      </w:pPr>
      <w:bookmarkStart w:id="25" w:name="_Toc491348178"/>
      <w:r w:rsidRPr="00363AF3">
        <w:t>Yabancı Yatırımlar</w:t>
      </w:r>
      <w:bookmarkEnd w:id="25"/>
    </w:p>
    <w:p w:rsidR="004C12DB" w:rsidRPr="00363AF3" w:rsidRDefault="004C12DB" w:rsidP="004C12DB">
      <w:pPr>
        <w:jc w:val="both"/>
      </w:pPr>
      <w:r w:rsidRPr="00363AF3">
        <w:t xml:space="preserve">Kenya Hükümeti’nin genel olarak yabancı yatırıma sıcak bir yaklaşımı olmakla birlikte  kalifiye personel bulunmasında yaşanan güçlükler, sahte ve kalitesiz ürünlerin yarattığı rekabet ve mevcut şirketlerin güçlü konumu yabancı yatırımların istenilen seviyede gerçekleşmesini engellemiştir. </w:t>
      </w:r>
    </w:p>
    <w:p w:rsidR="004C12DB" w:rsidRPr="00363AF3" w:rsidRDefault="004C12DB" w:rsidP="004C12DB">
      <w:pPr>
        <w:jc w:val="both"/>
      </w:pPr>
      <w:r w:rsidRPr="00363AF3">
        <w:t>Kenya’da bazı hassas sektörler dışında işletme kurulmasında yerli ortak zorunluluğu bulunmamaktadır. Yabancı yatırım payı telekomünikasyon, sigorta ve medya sektörleri ile Nairobi Borsası’nda işlem gören işletmelerde belli bir üst sınıra tabidir. Yabancı y</w:t>
      </w:r>
      <w:r w:rsidR="000C78A7">
        <w:t xml:space="preserve"> </w:t>
      </w:r>
      <w:r w:rsidRPr="00363AF3">
        <w:t xml:space="preserve">atırımcı Kenya’da faaliyet gösteren bir telekom şirketinin en fazla %80’ine, hisseleri Nairobi Borsası’nda işlem gören bir işletmenin %75’ine, bir sigorta şirketinin %67’sine ve bir TV kanalının %50’sine sahip olabilirler.  Kenya mevzuatı %100 yabancı özsermaye ile şirket kurulumuna izin vermektedir. </w:t>
      </w:r>
    </w:p>
    <w:p w:rsidR="004C12DB" w:rsidRPr="00363AF3" w:rsidRDefault="004C12DB" w:rsidP="004C12DB">
      <w:pPr>
        <w:jc w:val="both"/>
      </w:pPr>
      <w:r w:rsidRPr="00363AF3">
        <w:t>Kurumlar vergisi şirket Kenya'da yerli şirket şeklinde kurulursa %30, yabancı bir şirketin şubesi şeklinde kurulursa %37,5'tur. Kenya'da elde edilecek karın tamamının Türkiye'ye transferi mümkündür ve para transferleri tamamen serbesttir. Kenya genel olarak liberal ve yatırımcı dostu bir ekonomiye sahiptir; ülkenin eleştirilen yönleri telefon, internet, yol ve elektrik enerjisi şeklindeki altyapıya ilişkin yetersizliklerdir.</w:t>
      </w:r>
    </w:p>
    <w:p w:rsidR="004C12DB" w:rsidRPr="00363AF3" w:rsidRDefault="004C12DB" w:rsidP="004C12DB">
      <w:pPr>
        <w:jc w:val="both"/>
      </w:pPr>
      <w:r w:rsidRPr="00363AF3">
        <w:t xml:space="preserve">Küresel ekonomideki canlanma, Doğu Afrika Topluluğu içi entegrasyon ve Kenya ekonomisindeki büyümenin etkisi ile doğrudan yabancı yatırımların artarak devam etmesi beklenmektedir. Yatırımların %50’si başkent Nairobi’ye yönelmekte, Nairobi’yi Mombasa takip etmektedir. </w:t>
      </w:r>
    </w:p>
    <w:p w:rsidR="004C12DB" w:rsidRPr="00363AF3" w:rsidRDefault="004C12DB" w:rsidP="004C12DB">
      <w:pPr>
        <w:jc w:val="both"/>
      </w:pPr>
      <w:r w:rsidRPr="00363AF3">
        <w:t xml:space="preserve">Yabancı yatırımın kolaylaştırılması amacıyla tüm yatırım işlemlerinin tek bir pencereden yapılabilmesinin sağlanması planlanmaktadır. Doğu Afrika Topluluğu içerisinde ortak bir para birimine geçilmesi gündeme gelse de sözkonusu gelişmenin yakın bir tarihte gerçekleşmesi beklenmemektedir. Yabancı yatırım açısından mevcut yüksek vergi yükü caydırıcı bir unsur olarak </w:t>
      </w:r>
      <w:r w:rsidRPr="00363AF3">
        <w:lastRenderedPageBreak/>
        <w:t>varlığını devam ettirmektedir. Hükümetin bazı anahtar sektörlerde yatırımı canlandırmak için önümüzdeki yıllarda vergi indirimlerine gitmesi beklenmektedir.</w:t>
      </w:r>
    </w:p>
    <w:p w:rsidR="004C12DB" w:rsidRPr="00363AF3" w:rsidRDefault="004C12DB" w:rsidP="004C12DB">
      <w:pPr>
        <w:jc w:val="both"/>
      </w:pPr>
      <w:r w:rsidRPr="00363AF3">
        <w:t>Kenya’nın yabancı yatırım çekebilmesinde dışa açık bir ekonomik ve politik sisteme, turizm ve tarım için uygun iklimsel şartlara, ucuz işçi maliyeti ve liberal bir ekonomik yapıya sahip olması önemli rol oynamaktadır. Önümüzdeki dönem yabancı yatırımların özelleştirme kapsamındaki işletmelere yönelmesi beklenmektedir. Ayrıca Doğu Africa Topluluğu ve Doğu ve Güney Afrika Ortak Pazarı içi entegrasyon ve birçok uluslararası şirketin Kenya’yı Doğu Afrika yönetim merkezi olarak tayin etmeleri Kenya’nın yabancı yatırım çekebilmesini olumlu yönde etkilemektedir. Yabancı yatırımı caydıran unsurlar ulaşım altyapısındaki bozukluk, yüksek elektrik fiyatları, yüksek vergiler, yolsuzluk, yabancı personel çalıştırılması ve arsa alımında yaşanan bürokratik sıkıntılardır.</w:t>
      </w:r>
    </w:p>
    <w:p w:rsidR="004C12DB" w:rsidRPr="00363AF3" w:rsidRDefault="004C12DB" w:rsidP="003415F1">
      <w:pPr>
        <w:pStyle w:val="Heading3"/>
      </w:pPr>
      <w:bookmarkStart w:id="26" w:name="_Toc491348179"/>
      <w:r w:rsidRPr="00363AF3">
        <w:t>Doğrudan Yabancı Yatırımlar (Milyon Dolar)</w:t>
      </w:r>
      <w:bookmarkEnd w:id="26"/>
    </w:p>
    <w:p w:rsidR="004C12DB" w:rsidRPr="00363AF3" w:rsidRDefault="004C12DB" w:rsidP="004C12DB">
      <w:pPr>
        <w:jc w:val="both"/>
      </w:pPr>
      <w:r w:rsidRPr="00363AF3">
        <w:rPr>
          <w:noProof/>
          <w:lang w:val="en-US"/>
        </w:rPr>
        <w:drawing>
          <wp:inline distT="0" distB="0" distL="0" distR="0" wp14:anchorId="0DDC9004" wp14:editId="618DA3BF">
            <wp:extent cx="3575231" cy="2377567"/>
            <wp:effectExtent l="0" t="0" r="6350" b="3810"/>
            <wp:docPr id="5" name="Picture 5" descr="C:\Users\afrikastaj\Desktop\Kenya\Doğrudan Yabancı Yatırımlar (Milyon Do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frikastaj\Desktop\Kenya\Doğrudan Yabancı Yatırımlar (Milyon Dolar).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80764" cy="2381247"/>
                    </a:xfrm>
                    <a:prstGeom prst="rect">
                      <a:avLst/>
                    </a:prstGeom>
                    <a:noFill/>
                    <a:ln>
                      <a:noFill/>
                    </a:ln>
                  </pic:spPr>
                </pic:pic>
              </a:graphicData>
            </a:graphic>
          </wp:inline>
        </w:drawing>
      </w:r>
    </w:p>
    <w:p w:rsidR="003415F1" w:rsidRPr="003415F1" w:rsidRDefault="004C12DB" w:rsidP="003415F1">
      <w:pPr>
        <w:pStyle w:val="Quote"/>
      </w:pPr>
      <w:r w:rsidRPr="00363AF3">
        <w:t>Kaynak: ISA Economic Forecasts, national statistics</w:t>
      </w:r>
    </w:p>
    <w:p w:rsidR="004C12DB" w:rsidRPr="00363AF3" w:rsidRDefault="004C12DB" w:rsidP="003415F1">
      <w:pPr>
        <w:pStyle w:val="Heading3"/>
        <w:rPr>
          <w:lang w:val="en"/>
        </w:rPr>
      </w:pPr>
      <w:bookmarkStart w:id="27" w:name="_Toc491348180"/>
      <w:r w:rsidRPr="00363AF3">
        <w:rPr>
          <w:lang w:val="en"/>
        </w:rPr>
        <w:t>Yabancı Yatırımlar Hakkında Merkezi ve Yerel Yönetimlerin Kanun, Yönetmelik ve Uygulamaları</w:t>
      </w:r>
      <w:bookmarkEnd w:id="27"/>
    </w:p>
    <w:p w:rsidR="004C12DB" w:rsidRPr="00363AF3" w:rsidRDefault="004C12DB" w:rsidP="004C12DB">
      <w:pPr>
        <w:jc w:val="both"/>
      </w:pPr>
      <w:r w:rsidRPr="00363AF3">
        <w:t>Kenya, jeo-stratejik konumu itibariyle önemli bir ülke olup, bu konumu nedeniyle yatırımcılar için doğal bir cazibe merkezidir. Bu bağlamda, Doğu Afrika Bölgesine açılan kapı olup, bu bölgenin finans, ulaşım ve idare merkezidir.</w:t>
      </w:r>
    </w:p>
    <w:p w:rsidR="004C12DB" w:rsidRPr="00363AF3" w:rsidRDefault="004C12DB" w:rsidP="004C12DB">
      <w:pPr>
        <w:jc w:val="both"/>
      </w:pPr>
      <w:r w:rsidRPr="00363AF3">
        <w:t>Kenya’ya yatırım yapan üretici işletmeler, Kenya, Tanzanya, Uganda, Ruanda ve Burundi tarafından kurulan Doğu Afrika Topluluğu Pazarına ve Doğu ve Güney Afrika Ortak Pazarına (COMESA) tercihli giriş imkanına sahip olmaktadır.</w:t>
      </w:r>
    </w:p>
    <w:p w:rsidR="004C12DB" w:rsidRPr="00363AF3" w:rsidRDefault="004C12DB" w:rsidP="004C12DB">
      <w:pPr>
        <w:jc w:val="both"/>
      </w:pPr>
      <w:r w:rsidRPr="00363AF3">
        <w:t>Kenya, bağımsızlığını kazandığı zamandan (1963) beri, serbest pazar prensiplerine sadık kalmış, çevre ülkelerde yaşanan siyasi, sosyal ve ekonomik krizlere rağmen bölgesinde bir istikrar unsuru olmuştur. 1990’lardan beri yatırım ortamının iyileştirilmesi, üretimin ve ihracatın artırılması amacıyla aşağıda</w:t>
      </w:r>
      <w:r w:rsidR="003415F1">
        <w:t xml:space="preserve"> belirtilen önlemler alınmıştır:</w:t>
      </w:r>
    </w:p>
    <w:p w:rsidR="004C12DB" w:rsidRPr="00363AF3" w:rsidRDefault="004C12DB" w:rsidP="003415F1">
      <w:pPr>
        <w:pStyle w:val="ListParagraph"/>
        <w:numPr>
          <w:ilvl w:val="0"/>
          <w:numId w:val="9"/>
        </w:numPr>
      </w:pPr>
      <w:r w:rsidRPr="00363AF3">
        <w:t>Döviz ve fiyat kontrollerinin kaldırılması,</w:t>
      </w:r>
    </w:p>
    <w:p w:rsidR="004C12DB" w:rsidRPr="00363AF3" w:rsidRDefault="004C12DB" w:rsidP="003415F1">
      <w:pPr>
        <w:pStyle w:val="ListParagraph"/>
        <w:numPr>
          <w:ilvl w:val="0"/>
          <w:numId w:val="9"/>
        </w:numPr>
      </w:pPr>
      <w:r w:rsidRPr="00363AF3">
        <w:t>Kenya Şilini’nin konvertibl olması,</w:t>
      </w:r>
    </w:p>
    <w:p w:rsidR="004C12DB" w:rsidRPr="00363AF3" w:rsidRDefault="004C12DB" w:rsidP="003415F1">
      <w:pPr>
        <w:pStyle w:val="ListParagraph"/>
        <w:numPr>
          <w:ilvl w:val="0"/>
          <w:numId w:val="9"/>
        </w:numPr>
      </w:pPr>
      <w:r w:rsidRPr="00363AF3">
        <w:t>Ulusal güvenlik, sağlık ve çevrenin korunmasıyla doğrudan alakalı ürünler dışında  ithal lisansı uygulamasının sona erdirilmiş olması,</w:t>
      </w:r>
    </w:p>
    <w:p w:rsidR="004C12DB" w:rsidRPr="00363AF3" w:rsidRDefault="004C12DB" w:rsidP="003415F1">
      <w:pPr>
        <w:pStyle w:val="ListParagraph"/>
        <w:numPr>
          <w:ilvl w:val="0"/>
          <w:numId w:val="9"/>
        </w:numPr>
      </w:pPr>
      <w:r w:rsidRPr="00363AF3">
        <w:lastRenderedPageBreak/>
        <w:t>Sermaye piyasalarının yabancı iştirakçilere açılması,</w:t>
      </w:r>
    </w:p>
    <w:p w:rsidR="004C12DB" w:rsidRPr="00363AF3" w:rsidRDefault="004C12DB" w:rsidP="003415F1">
      <w:pPr>
        <w:pStyle w:val="ListParagraph"/>
        <w:numPr>
          <w:ilvl w:val="0"/>
          <w:numId w:val="9"/>
        </w:numPr>
      </w:pPr>
      <w:r w:rsidRPr="00363AF3">
        <w:t>Yatırım teşvikleri getirilmesi,</w:t>
      </w:r>
    </w:p>
    <w:p w:rsidR="004C12DB" w:rsidRPr="00363AF3" w:rsidRDefault="004C12DB" w:rsidP="003415F1">
      <w:pPr>
        <w:pStyle w:val="ListParagraph"/>
        <w:numPr>
          <w:ilvl w:val="0"/>
          <w:numId w:val="9"/>
        </w:numPr>
      </w:pPr>
      <w:r w:rsidRPr="00363AF3">
        <w:t>Gümrük vergisi ve KDV iadesi sisteminin getirilmesi,</w:t>
      </w:r>
    </w:p>
    <w:p w:rsidR="004C12DB" w:rsidRPr="00363AF3" w:rsidRDefault="004C12DB" w:rsidP="003415F1">
      <w:pPr>
        <w:pStyle w:val="ListParagraph"/>
        <w:numPr>
          <w:ilvl w:val="0"/>
          <w:numId w:val="9"/>
        </w:numPr>
      </w:pPr>
      <w:r w:rsidRPr="00363AF3">
        <w:t>İhracat işleme bölgelerinin kurulması,</w:t>
      </w:r>
    </w:p>
    <w:p w:rsidR="004C12DB" w:rsidRPr="00363AF3" w:rsidRDefault="004C12DB" w:rsidP="003415F1">
      <w:pPr>
        <w:pStyle w:val="ListParagraph"/>
        <w:numPr>
          <w:ilvl w:val="0"/>
          <w:numId w:val="9"/>
        </w:numPr>
      </w:pPr>
      <w:r w:rsidRPr="00363AF3">
        <w:t>Çeşitli ülkeler ile çifte vergilendirmenin önlenmesi, yatırımların karşılıklı teşviki ve korunması anlaşmalarının imzalanması.</w:t>
      </w:r>
    </w:p>
    <w:p w:rsidR="004C12DB" w:rsidRPr="00363AF3" w:rsidRDefault="004C12DB" w:rsidP="004C12DB">
      <w:pPr>
        <w:jc w:val="both"/>
      </w:pPr>
    </w:p>
    <w:p w:rsidR="004C12DB" w:rsidRPr="00363AF3" w:rsidRDefault="004C12DB" w:rsidP="004C12DB">
      <w:pPr>
        <w:jc w:val="both"/>
      </w:pPr>
      <w:r w:rsidRPr="00363AF3">
        <w:t>Kenya, Dünya Ticaret Örgütü’ne (DTÖ) kurulduğundan beri (Ocak 1995) üyedir. Diğer taraftan Kenya’da üretilen birçok ürün Avrupa Birliği ve ABD pazarlarına tercihli giriş imkanına sahiptir.</w:t>
      </w:r>
    </w:p>
    <w:p w:rsidR="004C12DB" w:rsidRPr="00363AF3" w:rsidRDefault="004C12DB" w:rsidP="004C12DB">
      <w:pPr>
        <w:jc w:val="both"/>
      </w:pPr>
      <w:r w:rsidRPr="00363AF3">
        <w:t>Kenya anayasasına göre; telafi ödemesi (tazminat) yapılmadan özel mülk kamulaştırılamaz. Kenya, üye ülkelerdeki ticari olmayan riskleri garanti eden ve Dünya Bankasına bağlı olarak faaliyet gösteren Çok Taraflı Yatırım Garanti Ajansına üyedir.</w:t>
      </w:r>
    </w:p>
    <w:p w:rsidR="004C12DB" w:rsidRPr="00363AF3" w:rsidRDefault="004C12DB" w:rsidP="003415F1">
      <w:pPr>
        <w:pStyle w:val="Heading3"/>
        <w:rPr>
          <w:lang w:val="en"/>
        </w:rPr>
      </w:pPr>
      <w:bookmarkStart w:id="28" w:name="_Toc491348181"/>
      <w:r w:rsidRPr="00363AF3">
        <w:rPr>
          <w:lang w:val="en"/>
        </w:rPr>
        <w:t>Yatırım Teşvik Politikaları ve Uygulamaları</w:t>
      </w:r>
      <w:bookmarkEnd w:id="28"/>
    </w:p>
    <w:p w:rsidR="004C12DB" w:rsidRPr="00363AF3" w:rsidRDefault="004C12DB" w:rsidP="004C12DB">
      <w:pPr>
        <w:jc w:val="both"/>
      </w:pPr>
      <w:r w:rsidRPr="00363AF3">
        <w:t>2005 yılı Ocak ayında yürürlüğe giren Yatırımların Korunmasına İlişkin Kanun’a göre; Kenya Hükümeti, yatırımların kolaylaştırılması ve teşviki amacıyla, iş kurmak için gerekli izinlerin alınmasında yatırımcılara her türlü kolaylığı sağlamayı hedeflemekte olup, bu amaçla kurulmuş olan Kenya Yatırım Otoritesi yabancı yatırımcılara hizmet sağlamaktadır. Sözkonusu Otorite aracılığıyla gerçekleşen yatırımlara yurtdışından ithal edilen makine ve teçhizat için KDV ödenmemesi, yatırım bedeli elde edilene kadar kurumlar vergisinden muafiyet gibi teşvikler sağlanmaktadır.</w:t>
      </w:r>
    </w:p>
    <w:p w:rsidR="004C12DB" w:rsidRPr="00363AF3" w:rsidRDefault="004C12DB" w:rsidP="004C12DB">
      <w:pPr>
        <w:jc w:val="both"/>
      </w:pPr>
      <w:r w:rsidRPr="00363AF3">
        <w:t xml:space="preserve">İhracata işleme bölgelerinde (Export processing zones – EPZ) faaliyet gösteren üretici işletmelere 10 yıl kurumlar vergisi muafiyeti, üretici ve ticari işletmeler için ithal edilen hammadde, yarı mamul ve teçhizattan gümrük ve KDV vergileri alınmaması, belli başlı sanayi düzenlemelerinden ve lisans uygulamalarından muafiyet tanınması gibi yatırım teşvikleri sağlanmaktadır. İhracat işleme bölgelerindeki üretici işletmeler, gerekli iznin alınması ve gümrük vergilerinin ödenmesi şartıyla yıllık üretim miktarının en fazla %20’sini Doğu Afrika Topluluğu kapsamında Kenya, Tanzanya ve Uganda’ya satabilirler. Öte yandan ticari işletmelerin satışlarının tümünün Doğu Afrika Topluluğu dışına yapılması gerekmektedir. </w:t>
      </w:r>
    </w:p>
    <w:p w:rsidR="004C12DB" w:rsidRPr="00363AF3" w:rsidRDefault="004C12DB" w:rsidP="004C12DB">
      <w:pPr>
        <w:jc w:val="both"/>
      </w:pPr>
      <w:r w:rsidRPr="00363AF3">
        <w:t>Kenya AGOA (Africa Growth and Opportunity Act) kapsamında tekstil ve konfeksiyon ürünleri ABD pazarına gümrük vergisiz olarak ihraç edilebilmektedir. Bunların dışında, Genelleştirilmiş Tercihler Sistemi (GTS) kapsamında, Kenya’nın çok sayıda sanayi ürünü ABD, Japonya, Kanada, Yeni Zelanda, Avustralya, İsviçre, İsveç, Norveç, Finlandiya, Avusturya gibi gelişmiş ülke pazarlarına tercihli olarak giriş yapabilmekte ve 3.000’den fazla ürüne miktar sınırlaması uygulanmamaktadır.</w:t>
      </w:r>
    </w:p>
    <w:p w:rsidR="004C12DB" w:rsidRPr="00363AF3" w:rsidRDefault="004C12DB" w:rsidP="003415F1">
      <w:pPr>
        <w:pStyle w:val="Heading3"/>
        <w:rPr>
          <w:lang w:val="en"/>
        </w:rPr>
      </w:pPr>
      <w:bookmarkStart w:id="29" w:name="_Toc491348182"/>
      <w:r w:rsidRPr="00363AF3">
        <w:rPr>
          <w:lang w:val="en"/>
        </w:rPr>
        <w:t>Çalışma İzni, Sosyal Güvenlik Sistemi</w:t>
      </w:r>
      <w:bookmarkEnd w:id="29"/>
    </w:p>
    <w:p w:rsidR="004C12DB" w:rsidRPr="00363AF3" w:rsidRDefault="004C12DB" w:rsidP="004C12DB">
      <w:pPr>
        <w:jc w:val="both"/>
        <w:rPr>
          <w:lang w:val="en"/>
        </w:rPr>
      </w:pPr>
      <w:proofErr w:type="gramStart"/>
      <w:r w:rsidRPr="00363AF3">
        <w:rPr>
          <w:lang w:val="en"/>
        </w:rPr>
        <w:t>Çalışma izni yatırımcı veya çalışan olma pozisyonuna göre çeşitli sınıflara ayrılmıştır.</w:t>
      </w:r>
      <w:proofErr w:type="gramEnd"/>
      <w:r w:rsidRPr="00363AF3">
        <w:rPr>
          <w:lang w:val="en"/>
        </w:rPr>
        <w:t xml:space="preserve"> Yatırımcı konumundaki kişilerin belli bir miktar sermayeyi Kenya’ya getirmelerine ve yatırımda bulunacakları </w:t>
      </w:r>
      <w:proofErr w:type="gramStart"/>
      <w:r w:rsidRPr="00363AF3">
        <w:rPr>
          <w:lang w:val="en"/>
        </w:rPr>
        <w:t>alana</w:t>
      </w:r>
      <w:proofErr w:type="gramEnd"/>
      <w:r w:rsidRPr="00363AF3">
        <w:rPr>
          <w:lang w:val="en"/>
        </w:rPr>
        <w:t xml:space="preserve"> ilişkin gerekli izinleri almış olmaları gerekmektedir. Çalışan konumundaki kişiler için işveren tarafından sözkonusu işin Kenya çalışma piyasasından </w:t>
      </w:r>
      <w:proofErr w:type="gramStart"/>
      <w:r w:rsidRPr="00363AF3">
        <w:rPr>
          <w:lang w:val="en"/>
        </w:rPr>
        <w:t>temin</w:t>
      </w:r>
      <w:proofErr w:type="gramEnd"/>
      <w:r w:rsidRPr="00363AF3">
        <w:rPr>
          <w:lang w:val="en"/>
        </w:rPr>
        <w:t xml:space="preserve"> edilemediğinin ispatlanması gerekmektedir. </w:t>
      </w:r>
      <w:proofErr w:type="gramStart"/>
      <w:r w:rsidRPr="00363AF3">
        <w:rPr>
          <w:lang w:val="en"/>
        </w:rPr>
        <w:t>Kenya’da faaliyet gösteren işletmeler çalışma bedelleri için talep edilen bedellerin yüksekliği ve süreçlerin uzunluğundan şikayetçi olmaktadır.</w:t>
      </w:r>
      <w:proofErr w:type="gramEnd"/>
      <w:r w:rsidRPr="00363AF3">
        <w:rPr>
          <w:lang w:val="en"/>
        </w:rPr>
        <w:t xml:space="preserve"> İlgili bedellere linkten ulaşılabilmektedir: </w:t>
      </w:r>
      <w:hyperlink r:id="rId16" w:history="1">
        <w:r w:rsidRPr="00363AF3">
          <w:rPr>
            <w:rStyle w:val="Hyperlink"/>
            <w:rFonts w:cs="Times New Roman"/>
            <w:lang w:val="en"/>
          </w:rPr>
          <w:t>http://www.immigration.go.ke/Information.html</w:t>
        </w:r>
      </w:hyperlink>
    </w:p>
    <w:p w:rsidR="004C12DB" w:rsidRPr="003415F1" w:rsidRDefault="004C12DB" w:rsidP="003415F1">
      <w:pPr>
        <w:pStyle w:val="Heading3"/>
      </w:pPr>
      <w:bookmarkStart w:id="30" w:name="_Toc491348183"/>
      <w:r w:rsidRPr="003415F1">
        <w:lastRenderedPageBreak/>
        <w:t>Yerel Ortak Bulma</w:t>
      </w:r>
      <w:bookmarkEnd w:id="30"/>
    </w:p>
    <w:p w:rsidR="004C12DB" w:rsidRPr="00B45657" w:rsidRDefault="004C12DB" w:rsidP="004C12DB">
      <w:pPr>
        <w:jc w:val="both"/>
      </w:pPr>
      <w:r w:rsidRPr="00B45657">
        <w:t>Yerel ortak temini için pazarın ziyaret edilmesi, sektördeki önemli işletmeler ile biraraya gelinmesi önem arz etmektedir. Potansiyel ortak hakkında bilgi işletmenin finansal raporlarını talep ederek, tedarikçileri ve müştelerileri ile görüşerek sağlanabilir. Yerel ortak ile hareket eden işletmeler bir süre sonra ciddi sıkıntılar yaşamaya başlayabilmektedir. Sıkıntılar sıklıkla yerel ortağın taahhüt ettiği yatırımlarda bulunmaması veya işletmeye yeterince zaman ayırmaması gibi sebeplerle ortaya çıkmaktadır. Ortaklı sözleşmelerinde her ortağın bir zaman tablosu çerçevesinde ne zaman ne gibi bir yatırımda bulunacağının, tarafların yatırıma ne kadar zaman ayıracaklarının ve taahhütlere uyulmaması durumunda ne gibi yaptırımların uygulanacağının netleştirilmesi gerekmektedir.</w:t>
      </w:r>
    </w:p>
    <w:p w:rsidR="004C12DB" w:rsidRPr="00363AF3" w:rsidRDefault="004C12DB" w:rsidP="003415F1">
      <w:pPr>
        <w:pStyle w:val="Heading3"/>
        <w:rPr>
          <w:lang w:val="en"/>
        </w:rPr>
      </w:pPr>
      <w:bookmarkStart w:id="31" w:name="_Toc491348184"/>
      <w:r w:rsidRPr="00363AF3">
        <w:rPr>
          <w:lang w:val="en"/>
        </w:rPr>
        <w:t>Sektördeki Türk ve Yabancı Yatırımlar</w:t>
      </w:r>
      <w:bookmarkEnd w:id="31"/>
    </w:p>
    <w:p w:rsidR="004C12DB" w:rsidRPr="00363AF3" w:rsidRDefault="004C12DB" w:rsidP="004C12DB">
      <w:pPr>
        <w:jc w:val="both"/>
      </w:pPr>
      <w:r w:rsidRPr="00363AF3">
        <w:t>Öte yandan 2000’li yıllarda ülkemizden birkaç işletmenin faaliyet gösterdiği Kenya’da bugün inşaat malzemeleri, otel ekipmanları, halı, elektronik eşya, deri, kozmetik ürünler, konfeksiyon ticareti, müteahhitlik, turizm, karayolu ile yolcu taşımacılığı, restaurant işletmeciliği, un fabrikaları kurulumu, mobilya, briket üretimi vb. alanlarda faaliyet gösteren 40’a yakın Türk işletme mevcuttur. Kenya’da ağırlığı KOBİ statüsünde olmak üzere her yıl 8-10 Türk işletme kurulmakta ve her yıl 2-4 Türk işletme de Kenya pazarından ayrılmaktadır. Birçok uluslararası şirket kendilerine bölgesel merkez olarak Kenya’yı seçmişlerdir. Kenya’da 200’ün üzerinde uluslararası şirket faaliyet göstermektedir.</w:t>
      </w:r>
    </w:p>
    <w:p w:rsidR="004C12DB" w:rsidRPr="00363AF3" w:rsidRDefault="004C12DB" w:rsidP="003415F1">
      <w:pPr>
        <w:pStyle w:val="Heading3"/>
        <w:rPr>
          <w:lang w:val="en"/>
        </w:rPr>
      </w:pPr>
      <w:bookmarkStart w:id="32" w:name="_Toc491348185"/>
      <w:r w:rsidRPr="00363AF3">
        <w:rPr>
          <w:lang w:val="en"/>
        </w:rPr>
        <w:t>Vergiler:</w:t>
      </w:r>
      <w:bookmarkEnd w:id="32"/>
    </w:p>
    <w:p w:rsidR="004C12DB" w:rsidRPr="00363AF3" w:rsidRDefault="004C12DB" w:rsidP="004C12DB">
      <w:pPr>
        <w:jc w:val="both"/>
      </w:pPr>
      <w:r w:rsidRPr="00363AF3">
        <w:t>Tüm yerli firmalar gelirleri üzerinden %30 oranında kurumlar vergisine tabidir. Yabancı firmaların Kenya’daki şubeleri %37,5 oranında kurumlar vergisi ödemektedir.</w:t>
      </w:r>
    </w:p>
    <w:p w:rsidR="004C12DB" w:rsidRPr="00363AF3" w:rsidRDefault="004C12DB" w:rsidP="004C12DB">
      <w:pPr>
        <w:jc w:val="both"/>
      </w:pPr>
      <w:r w:rsidRPr="00363AF3">
        <w:t>KDV ithal edilen ya da Kenya’da üretilen mallardan alınmakta olup, Kenya’da sağlanan veya ithal edilen vergiye tabi hizmetlere uygulanır. Standart KDV oranı %16 olup, sağlık ve eğitim hizmetleri ile bazı gıda ürünlerinde KDV istisnası bulunmaktadır.</w:t>
      </w:r>
    </w:p>
    <w:p w:rsidR="004C12DB" w:rsidRDefault="004C12DB" w:rsidP="004C12DB">
      <w:pPr>
        <w:jc w:val="both"/>
      </w:pPr>
      <w:r w:rsidRPr="00363AF3">
        <w:t>Ayrıca üretici veya ticari işletme lisansı bedeli, standartlar, motorlu taşıtlar, eğitim, yol, damga ve akaryakıt şeklinde diğer vergiler bulunmaktadır.</w:t>
      </w:r>
    </w:p>
    <w:p w:rsidR="003415F1" w:rsidRPr="00363AF3" w:rsidRDefault="003415F1" w:rsidP="003415F1">
      <w:pPr>
        <w:pStyle w:val="Heading2"/>
        <w:rPr>
          <w:lang w:val="en"/>
        </w:rPr>
      </w:pPr>
      <w:bookmarkStart w:id="33" w:name="_Toc491348186"/>
      <w:r w:rsidRPr="00363AF3">
        <w:rPr>
          <w:lang w:val="en"/>
        </w:rPr>
        <w:t>Pazarın Arz Yapısı</w:t>
      </w:r>
      <w:bookmarkEnd w:id="33"/>
    </w:p>
    <w:p w:rsidR="003415F1" w:rsidRPr="00363AF3" w:rsidRDefault="003415F1" w:rsidP="003415F1">
      <w:pPr>
        <w:pStyle w:val="Heading3"/>
        <w:rPr>
          <w:lang w:val="en"/>
        </w:rPr>
      </w:pPr>
      <w:bookmarkStart w:id="34" w:name="_Toc491348187"/>
      <w:r w:rsidRPr="00363AF3">
        <w:rPr>
          <w:lang w:val="en"/>
        </w:rPr>
        <w:t>Lokal Ürün/Hizmetler, Bunların Üretim Miktarı ve Üretici/Servis Sağlayıcı Kuruluşlar</w:t>
      </w:r>
      <w:bookmarkEnd w:id="34"/>
    </w:p>
    <w:p w:rsidR="003415F1" w:rsidRPr="00363AF3" w:rsidRDefault="003415F1" w:rsidP="003415F1">
      <w:pPr>
        <w:jc w:val="both"/>
        <w:rPr>
          <w:lang w:val="en"/>
        </w:rPr>
      </w:pPr>
      <w:proofErr w:type="gramStart"/>
      <w:r w:rsidRPr="00363AF3">
        <w:rPr>
          <w:lang w:val="en"/>
        </w:rPr>
        <w:t>Kenya nüfusunun %76’sı kırsal alanda yaşamakta olup, sözkonusu kesim tarım ve hayvancılık ile iştigal etmektedir.</w:t>
      </w:r>
      <w:proofErr w:type="gramEnd"/>
      <w:r w:rsidRPr="00363AF3">
        <w:rPr>
          <w:lang w:val="en"/>
        </w:rPr>
        <w:t xml:space="preserve"> </w:t>
      </w:r>
      <w:proofErr w:type="gramStart"/>
      <w:r w:rsidRPr="00363AF3">
        <w:rPr>
          <w:lang w:val="en"/>
        </w:rPr>
        <w:t>Kırsal kesimdeki tarım ve hayvancılık ağırlıklı olarak asgari geçimi sağlayacak şeklindedir.</w:t>
      </w:r>
      <w:proofErr w:type="gramEnd"/>
      <w:r w:rsidRPr="00363AF3">
        <w:rPr>
          <w:lang w:val="en"/>
        </w:rPr>
        <w:t xml:space="preserve"> </w:t>
      </w:r>
    </w:p>
    <w:p w:rsidR="003415F1" w:rsidRPr="00363AF3" w:rsidRDefault="003415F1" w:rsidP="003415F1">
      <w:pPr>
        <w:jc w:val="both"/>
        <w:rPr>
          <w:lang w:val="en"/>
        </w:rPr>
      </w:pPr>
      <w:proofErr w:type="gramStart"/>
      <w:r w:rsidRPr="00363AF3">
        <w:rPr>
          <w:lang w:val="en"/>
        </w:rPr>
        <w:t>Kenya’daki önemli sanayi kuruluşlarının birçoğu Kenya Üreticiler Derneğinin (www.kam.co.ke) ve Kenya Özel Sektör Birliği üyesidir (www.kepsa.or.ke).</w:t>
      </w:r>
      <w:proofErr w:type="gramEnd"/>
      <w:r w:rsidRPr="00363AF3">
        <w:rPr>
          <w:lang w:val="en"/>
        </w:rPr>
        <w:t xml:space="preserve"> </w:t>
      </w:r>
      <w:proofErr w:type="gramStart"/>
      <w:r w:rsidRPr="00363AF3">
        <w:rPr>
          <w:lang w:val="en"/>
        </w:rPr>
        <w:t>Sanayi, gıda ürünlerinin işlenmesi ve ambalajlanması, plastik, kağıt, çimento ve tekstil sektörlerine yoğunlaşmıştır.</w:t>
      </w:r>
      <w:proofErr w:type="gramEnd"/>
    </w:p>
    <w:p w:rsidR="003415F1" w:rsidRPr="00363AF3" w:rsidRDefault="003415F1" w:rsidP="003415F1">
      <w:pPr>
        <w:jc w:val="both"/>
        <w:rPr>
          <w:lang w:val="en"/>
        </w:rPr>
      </w:pPr>
      <w:proofErr w:type="gramStart"/>
      <w:r w:rsidRPr="00363AF3">
        <w:rPr>
          <w:lang w:val="en"/>
        </w:rPr>
        <w:t>Kenya’daki mal ve hizmet üretim miktarlarına Kenya Ulusal İstatistik Bürosunun www.knbs.or.ke web adresinden ulaşılabilmektedir.</w:t>
      </w:r>
      <w:proofErr w:type="gramEnd"/>
    </w:p>
    <w:p w:rsidR="00276023" w:rsidRDefault="00276023">
      <w:pPr>
        <w:rPr>
          <w:rFonts w:asciiTheme="majorHAnsi" w:eastAsiaTheme="majorEastAsia" w:hAnsiTheme="majorHAnsi" w:cstheme="majorBidi"/>
          <w:b/>
          <w:bCs/>
          <w:color w:val="4F81BD" w:themeColor="accent1"/>
          <w:lang w:val="en"/>
        </w:rPr>
      </w:pPr>
      <w:bookmarkStart w:id="35" w:name="_Toc491348188"/>
      <w:r>
        <w:rPr>
          <w:lang w:val="en"/>
        </w:rPr>
        <w:br w:type="page"/>
      </w:r>
    </w:p>
    <w:p w:rsidR="003415F1" w:rsidRPr="00363AF3" w:rsidRDefault="003415F1" w:rsidP="003415F1">
      <w:pPr>
        <w:pStyle w:val="Heading3"/>
        <w:rPr>
          <w:lang w:val="en"/>
        </w:rPr>
      </w:pPr>
      <w:r w:rsidRPr="00363AF3">
        <w:rPr>
          <w:lang w:val="en"/>
        </w:rPr>
        <w:lastRenderedPageBreak/>
        <w:t>Yabancı Menşeli Ürüm/Hizmetler, Bunların Üretim Miktarı ve Tedarikçiler</w:t>
      </w:r>
      <w:bookmarkEnd w:id="35"/>
    </w:p>
    <w:p w:rsidR="003415F1" w:rsidRPr="00363AF3" w:rsidRDefault="003415F1" w:rsidP="003415F1">
      <w:pPr>
        <w:jc w:val="both"/>
        <w:rPr>
          <w:lang w:val="en"/>
        </w:rPr>
      </w:pPr>
      <w:proofErr w:type="gramStart"/>
      <w:r w:rsidRPr="00363AF3">
        <w:rPr>
          <w:lang w:val="en"/>
        </w:rPr>
        <w:t>Yüksek teknoloji isteyen madencilik ve enerji sektörlerinde Avrupa, ABD, Kanada ve Avustralyalı işletmeler ağırlıktadır.</w:t>
      </w:r>
      <w:proofErr w:type="gramEnd"/>
      <w:r w:rsidRPr="00363AF3">
        <w:rPr>
          <w:lang w:val="en"/>
        </w:rPr>
        <w:t xml:space="preserve"> </w:t>
      </w:r>
      <w:proofErr w:type="gramStart"/>
      <w:r w:rsidRPr="00363AF3">
        <w:rPr>
          <w:lang w:val="en"/>
        </w:rPr>
        <w:t>Motorlu taşıtlar sektöründe Çin, Japonya, Kore ve Hindistan gibi Asyalı ülkelerin ağırlığı mevcuttur.</w:t>
      </w:r>
      <w:proofErr w:type="gramEnd"/>
      <w:r w:rsidRPr="00363AF3">
        <w:rPr>
          <w:lang w:val="en"/>
        </w:rPr>
        <w:t xml:space="preserve"> </w:t>
      </w:r>
      <w:proofErr w:type="gramStart"/>
      <w:r w:rsidRPr="00363AF3">
        <w:rPr>
          <w:lang w:val="en"/>
        </w:rPr>
        <w:t>Altyapı sektöründe Çin’in belirgin ağırlığı mevcuttur.</w:t>
      </w:r>
      <w:proofErr w:type="gramEnd"/>
    </w:p>
    <w:p w:rsidR="003415F1" w:rsidRPr="00363AF3" w:rsidRDefault="003415F1" w:rsidP="003415F1">
      <w:pPr>
        <w:pStyle w:val="Heading3"/>
        <w:rPr>
          <w:lang w:val="en"/>
        </w:rPr>
      </w:pPr>
      <w:bookmarkStart w:id="36" w:name="_Toc491348189"/>
      <w:r w:rsidRPr="00363AF3">
        <w:rPr>
          <w:lang w:val="en"/>
        </w:rPr>
        <w:t>Ürün/Hizmet Sağlayıcılarının Konsantrasyonu</w:t>
      </w:r>
      <w:bookmarkEnd w:id="36"/>
    </w:p>
    <w:p w:rsidR="003415F1" w:rsidRPr="00363AF3" w:rsidRDefault="003415F1" w:rsidP="003415F1">
      <w:pPr>
        <w:jc w:val="both"/>
        <w:rPr>
          <w:lang w:val="en"/>
        </w:rPr>
      </w:pPr>
      <w:proofErr w:type="gramStart"/>
      <w:r w:rsidRPr="00363AF3">
        <w:rPr>
          <w:lang w:val="en"/>
        </w:rPr>
        <w:t>Kenya milli hasılasının %50’si Nairobi’den ve %20’si Mombasa’dan elde edilmektedir.</w:t>
      </w:r>
      <w:proofErr w:type="gramEnd"/>
      <w:r w:rsidRPr="00363AF3">
        <w:rPr>
          <w:lang w:val="en"/>
        </w:rPr>
        <w:t xml:space="preserve"> </w:t>
      </w:r>
      <w:proofErr w:type="gramStart"/>
      <w:r w:rsidRPr="00363AF3">
        <w:rPr>
          <w:lang w:val="en"/>
        </w:rPr>
        <w:t>Geri kalan %30’luk milli hasıla da ağırlığı Kisumu, Nakuru ve Eldoret gibi şehirler olmak üzere ülkenin geri kalanından elde edilmektedir.</w:t>
      </w:r>
      <w:proofErr w:type="gramEnd"/>
    </w:p>
    <w:p w:rsidR="003415F1" w:rsidRPr="00363AF3" w:rsidRDefault="003415F1" w:rsidP="003415F1">
      <w:pPr>
        <w:jc w:val="both"/>
        <w:rPr>
          <w:lang w:val="en"/>
        </w:rPr>
      </w:pPr>
      <w:proofErr w:type="gramStart"/>
      <w:r w:rsidRPr="00363AF3">
        <w:rPr>
          <w:lang w:val="en"/>
        </w:rPr>
        <w:t>Nairobi birçok uluslararası şirket tarafından Doğu Afrika’nın idare merkezi olarak görülmekte olup, 200’ün üzerinde uluslararası işletmenin Nairobi’de faaliyet gösterdiği tahmin edilmektedir.</w:t>
      </w:r>
      <w:proofErr w:type="gramEnd"/>
      <w:r w:rsidRPr="00363AF3">
        <w:rPr>
          <w:lang w:val="en"/>
        </w:rPr>
        <w:t xml:space="preserve"> </w:t>
      </w:r>
      <w:proofErr w:type="gramStart"/>
      <w:r w:rsidRPr="00363AF3">
        <w:rPr>
          <w:lang w:val="en"/>
        </w:rPr>
        <w:t>Nairobi’deki işletmeler ağırlıklı olarak “Industrial Area” ve “Mombasa Road” çevresinde yoğunlaşmıştır.</w:t>
      </w:r>
      <w:proofErr w:type="gramEnd"/>
    </w:p>
    <w:p w:rsidR="003415F1" w:rsidRPr="00363AF3" w:rsidRDefault="003415F1" w:rsidP="003415F1">
      <w:pPr>
        <w:pStyle w:val="Heading2"/>
        <w:rPr>
          <w:lang w:val="en"/>
        </w:rPr>
      </w:pPr>
      <w:bookmarkStart w:id="37" w:name="_Toc491348190"/>
      <w:r w:rsidRPr="00363AF3">
        <w:rPr>
          <w:lang w:val="en"/>
        </w:rPr>
        <w:t>Pazarın Talep Yapısı</w:t>
      </w:r>
      <w:bookmarkEnd w:id="37"/>
    </w:p>
    <w:p w:rsidR="003415F1" w:rsidRPr="00363AF3" w:rsidRDefault="003415F1" w:rsidP="003415F1">
      <w:pPr>
        <w:pStyle w:val="Heading3"/>
        <w:rPr>
          <w:lang w:val="en"/>
        </w:rPr>
      </w:pPr>
      <w:bookmarkStart w:id="38" w:name="_Toc491348191"/>
      <w:r w:rsidRPr="00363AF3">
        <w:rPr>
          <w:lang w:val="en"/>
        </w:rPr>
        <w:t>Genel Tüketim/Talep Eğilimleri</w:t>
      </w:r>
      <w:bookmarkEnd w:id="38"/>
    </w:p>
    <w:p w:rsidR="003415F1" w:rsidRPr="00363AF3" w:rsidRDefault="003415F1" w:rsidP="003415F1">
      <w:pPr>
        <w:jc w:val="both"/>
        <w:rPr>
          <w:lang w:val="en"/>
        </w:rPr>
      </w:pPr>
      <w:r w:rsidRPr="00363AF3">
        <w:rPr>
          <w:lang w:val="en"/>
        </w:rPr>
        <w:t>Kenya’da tüketim gücüne sahip orta sınıfın genişlemesi ile birlikte gelecekte otomotiv, dayanıklı tüketim malları, mobilya, züccaciye ve ev eşyalarına olan talebin artması; gıda işleme ve makine, inşaat, bankacılık, bilgi teknolojileri ve iletişim, turizm ve perakende, eğitim, sağlık ve eğlence sektörlerinin büyümesi beklenmektedir.</w:t>
      </w:r>
    </w:p>
    <w:p w:rsidR="003415F1" w:rsidRPr="00363AF3" w:rsidRDefault="003415F1" w:rsidP="003415F1">
      <w:pPr>
        <w:pStyle w:val="Heading3"/>
        <w:rPr>
          <w:lang w:val="en"/>
        </w:rPr>
      </w:pPr>
      <w:bookmarkStart w:id="39" w:name="_Toc491348192"/>
      <w:r w:rsidRPr="00363AF3">
        <w:rPr>
          <w:lang w:val="en"/>
        </w:rPr>
        <w:t>Pazarda Eksikliği Çekilen Ürün ve Hizmetler</w:t>
      </w:r>
      <w:bookmarkEnd w:id="39"/>
    </w:p>
    <w:p w:rsidR="003415F1" w:rsidRPr="00363AF3" w:rsidRDefault="003415F1" w:rsidP="003415F1">
      <w:pPr>
        <w:jc w:val="both"/>
        <w:rPr>
          <w:lang w:val="en"/>
        </w:rPr>
      </w:pPr>
      <w:proofErr w:type="gramStart"/>
      <w:r w:rsidRPr="00363AF3">
        <w:rPr>
          <w:lang w:val="en"/>
        </w:rPr>
        <w:t>Kenya’nın</w:t>
      </w:r>
      <w:proofErr w:type="gramEnd"/>
      <w:r w:rsidRPr="00363AF3">
        <w:rPr>
          <w:lang w:val="en"/>
        </w:rPr>
        <w:t xml:space="preserve"> ithalında en çok yer alan ürün grupları sırasıyla petrol, makine sektörü, elektrik-elektronik sektörü, motorlu kara taşıtları ve demir-çeliktir.</w:t>
      </w:r>
    </w:p>
    <w:p w:rsidR="003415F1" w:rsidRPr="00363AF3" w:rsidRDefault="003415F1" w:rsidP="003415F1">
      <w:pPr>
        <w:jc w:val="both"/>
        <w:rPr>
          <w:lang w:val="en"/>
        </w:rPr>
      </w:pPr>
      <w:proofErr w:type="gramStart"/>
      <w:r w:rsidRPr="00363AF3">
        <w:rPr>
          <w:lang w:val="en"/>
        </w:rPr>
        <w:t>Makine sektöründe sırasıyla bilişim sektörü ürünleri, inşaat ve madencilik sektörlerinde kullanılan makineler, çeşitli taşıtlarda kullanılan motorlar ve inşaat araçları en fazla ithalatı gerçekleştirilen ürünlerdir.</w:t>
      </w:r>
      <w:proofErr w:type="gramEnd"/>
      <w:r w:rsidRPr="00363AF3">
        <w:rPr>
          <w:lang w:val="en"/>
        </w:rPr>
        <w:t xml:space="preserve"> </w:t>
      </w:r>
      <w:proofErr w:type="gramStart"/>
      <w:r w:rsidRPr="00363AF3">
        <w:rPr>
          <w:lang w:val="en"/>
        </w:rPr>
        <w:t>Eletrik-eletronik sektöründe cep telefonları ile aksam ve parçaları, elektrik transformatörleri, elektrik konvertörleri ve izole edilmiş teller ile kablolar ithalatı en fazla gerçekleştirilen ürünlerdir.</w:t>
      </w:r>
      <w:proofErr w:type="gramEnd"/>
      <w:r w:rsidRPr="00363AF3">
        <w:rPr>
          <w:lang w:val="en"/>
        </w:rPr>
        <w:t xml:space="preserve"> Motorlu </w:t>
      </w:r>
      <w:proofErr w:type="gramStart"/>
      <w:r w:rsidRPr="00363AF3">
        <w:rPr>
          <w:lang w:val="en"/>
        </w:rPr>
        <w:t>kara</w:t>
      </w:r>
      <w:proofErr w:type="gramEnd"/>
      <w:r w:rsidRPr="00363AF3">
        <w:rPr>
          <w:lang w:val="en"/>
        </w:rPr>
        <w:t xml:space="preserve"> taşıtları sektöründe sırasıyla otomotiv, kamyon, traktör ve motorsiklet en fazla ithalatı gerçekleştirilen ürünlerdir. Demir ve çelik sektöründe sırasıyla hassı hadde ürünleri, demir ve alaşımsız çelikten yarı mamuller ve filmaşin ithalatı en çok gerçekleştirilen ürünlerdir.</w:t>
      </w:r>
    </w:p>
    <w:p w:rsidR="003415F1" w:rsidRPr="00363AF3" w:rsidRDefault="003415F1" w:rsidP="003415F1">
      <w:pPr>
        <w:pStyle w:val="Heading3"/>
        <w:rPr>
          <w:lang w:val="en"/>
        </w:rPr>
      </w:pPr>
      <w:bookmarkStart w:id="40" w:name="_Toc491348193"/>
      <w:r w:rsidRPr="00363AF3">
        <w:rPr>
          <w:lang w:val="en"/>
        </w:rPr>
        <w:t>Tüketici Profili</w:t>
      </w:r>
      <w:bookmarkEnd w:id="40"/>
    </w:p>
    <w:p w:rsidR="003415F1" w:rsidRPr="00363AF3" w:rsidRDefault="003415F1" w:rsidP="003415F1">
      <w:pPr>
        <w:jc w:val="both"/>
        <w:rPr>
          <w:lang w:val="en"/>
        </w:rPr>
      </w:pPr>
      <w:proofErr w:type="gramStart"/>
      <w:r w:rsidRPr="00363AF3">
        <w:rPr>
          <w:lang w:val="en"/>
        </w:rPr>
        <w:t>Kenya milli hasılasının yarısı ülkenin başkenti olan ve 4 milyona yakın nüfusa sahip Nairobi’de elde edilmektedir.</w:t>
      </w:r>
      <w:proofErr w:type="gramEnd"/>
      <w:r w:rsidRPr="00363AF3">
        <w:rPr>
          <w:lang w:val="en"/>
        </w:rPr>
        <w:t xml:space="preserve"> </w:t>
      </w:r>
      <w:proofErr w:type="gramStart"/>
      <w:r w:rsidRPr="00363AF3">
        <w:rPr>
          <w:lang w:val="en"/>
        </w:rPr>
        <w:t>BM’nin dünyadaki 4.</w:t>
      </w:r>
      <w:proofErr w:type="gramEnd"/>
      <w:r w:rsidRPr="00363AF3">
        <w:rPr>
          <w:lang w:val="en"/>
        </w:rPr>
        <w:t xml:space="preserve"> </w:t>
      </w:r>
      <w:proofErr w:type="gramStart"/>
      <w:r w:rsidRPr="00363AF3">
        <w:rPr>
          <w:lang w:val="en"/>
        </w:rPr>
        <w:t>büyük</w:t>
      </w:r>
      <w:proofErr w:type="gramEnd"/>
      <w:r w:rsidRPr="00363AF3">
        <w:rPr>
          <w:lang w:val="en"/>
        </w:rPr>
        <w:t xml:space="preserve"> merkezinin Nairobi’de bulunması sebebiyle şehirde 200.000’in üzerinde yabancının yaşadığı tahmin edilmektedir. </w:t>
      </w:r>
      <w:proofErr w:type="gramStart"/>
      <w:r w:rsidRPr="00363AF3">
        <w:rPr>
          <w:lang w:val="en"/>
        </w:rPr>
        <w:t>Ülkedeki yabancılar ve ülkenin ticaretini ağırlıklı olarak ellerinde bulunduran Hint kökenli Kenyalılar nispeten varlıklı bir tüketici grubu oluşturmaktadır.</w:t>
      </w:r>
      <w:proofErr w:type="gramEnd"/>
      <w:r w:rsidRPr="00363AF3">
        <w:rPr>
          <w:lang w:val="en"/>
        </w:rPr>
        <w:t xml:space="preserve"> </w:t>
      </w:r>
    </w:p>
    <w:p w:rsidR="003415F1" w:rsidRDefault="003415F1" w:rsidP="004C12DB">
      <w:pPr>
        <w:jc w:val="both"/>
        <w:rPr>
          <w:lang w:val="en"/>
        </w:rPr>
      </w:pPr>
      <w:proofErr w:type="gramStart"/>
      <w:r w:rsidRPr="00363AF3">
        <w:rPr>
          <w:lang w:val="en"/>
        </w:rPr>
        <w:t>Kenya  nüfusunun</w:t>
      </w:r>
      <w:proofErr w:type="gramEnd"/>
      <w:r w:rsidRPr="00363AF3">
        <w:rPr>
          <w:lang w:val="en"/>
        </w:rPr>
        <w:t xml:space="preserve"> %4’ünün aylık 1.410 doların üzerinde gelir elde ettiği tahmin edilmektedir. Çalışan nüfusunun %24’ünün aylık 280 ile 1.410 dolar arasında ve %72’sinin aylık 280 doların altında gelir elde ettiği öngörülmektedir. </w:t>
      </w:r>
      <w:proofErr w:type="gramStart"/>
      <w:r w:rsidRPr="00363AF3">
        <w:rPr>
          <w:lang w:val="en"/>
        </w:rPr>
        <w:t>Nüfusun %76’sı kırsal kesimde yaşamakta olup, kırsal kesimde yaşayan önemli bir nüfus doğrudan ekonomik hayata katkı sağlamamakta, geçimin asgari düzeyde sağlanmasını öngören bir yapıda tarım ve hayvancılık ile iştigal etmektedir</w:t>
      </w:r>
      <w:r>
        <w:rPr>
          <w:lang w:val="en"/>
        </w:rPr>
        <w:t>.</w:t>
      </w:r>
      <w:proofErr w:type="gramEnd"/>
    </w:p>
    <w:p w:rsidR="00A17E9E" w:rsidRDefault="00A17E9E" w:rsidP="003415F1">
      <w:pPr>
        <w:pStyle w:val="Heading2"/>
        <w:spacing w:line="240" w:lineRule="auto"/>
      </w:pPr>
      <w:bookmarkStart w:id="41" w:name="_Toc491348194"/>
      <w:r w:rsidRPr="00D66755">
        <w:lastRenderedPageBreak/>
        <w:t>Türkiye ile Ekonomik ve Ticari İlişkiler</w:t>
      </w:r>
      <w:bookmarkEnd w:id="41"/>
    </w:p>
    <w:p w:rsidR="00E16869" w:rsidRPr="00363AF3" w:rsidRDefault="00E16869" w:rsidP="00E16869">
      <w:pPr>
        <w:jc w:val="both"/>
      </w:pPr>
      <w:r w:rsidRPr="00363AF3">
        <w:t>2015 yılı Kenya’ya ihracatımız 131 milyon dolar olmuştur. İthalatımız ise 13,2 milyon dolar seviyesinde gerçekleşmiştir.</w:t>
      </w:r>
    </w:p>
    <w:p w:rsidR="00E16869" w:rsidRPr="00363AF3" w:rsidRDefault="00E16869" w:rsidP="00E16869">
      <w:pPr>
        <w:pStyle w:val="Heading3"/>
      </w:pPr>
      <w:bookmarkStart w:id="42" w:name="_Toc491348195"/>
      <w:r w:rsidRPr="00363AF3">
        <w:t>Türkiye - Kenya Dış Ticaret Değerleri (1.000 $)</w:t>
      </w:r>
      <w:bookmarkEnd w:id="42"/>
    </w:p>
    <w:tbl>
      <w:tblPr>
        <w:tblStyle w:val="TableGrid"/>
        <w:tblW w:w="0" w:type="auto"/>
        <w:tblLook w:val="04A0" w:firstRow="1" w:lastRow="0" w:firstColumn="1" w:lastColumn="0" w:noHBand="0" w:noVBand="1"/>
      </w:tblPr>
      <w:tblGrid>
        <w:gridCol w:w="1586"/>
        <w:gridCol w:w="1839"/>
        <w:gridCol w:w="1704"/>
        <w:gridCol w:w="1704"/>
        <w:gridCol w:w="1906"/>
      </w:tblGrid>
      <w:tr w:rsidR="00E16869" w:rsidRPr="00363AF3" w:rsidTr="00D559BB">
        <w:trPr>
          <w:trHeight w:val="249"/>
        </w:trPr>
        <w:tc>
          <w:tcPr>
            <w:tcW w:w="1586" w:type="dxa"/>
            <w:vAlign w:val="center"/>
            <w:hideMark/>
          </w:tcPr>
          <w:p w:rsidR="00E16869" w:rsidRPr="00D559BB" w:rsidRDefault="00E16869" w:rsidP="00D559BB">
            <w:pPr>
              <w:pStyle w:val="NoSpacing"/>
              <w:jc w:val="center"/>
              <w:rPr>
                <w:b/>
              </w:rPr>
            </w:pPr>
            <w:r w:rsidRPr="00D559BB">
              <w:rPr>
                <w:b/>
              </w:rPr>
              <w:t>Yıl</w:t>
            </w:r>
          </w:p>
        </w:tc>
        <w:tc>
          <w:tcPr>
            <w:tcW w:w="1839" w:type="dxa"/>
            <w:vAlign w:val="center"/>
            <w:hideMark/>
          </w:tcPr>
          <w:p w:rsidR="00E16869" w:rsidRPr="00D559BB" w:rsidRDefault="00E16869" w:rsidP="00D559BB">
            <w:pPr>
              <w:pStyle w:val="NoSpacing"/>
              <w:jc w:val="center"/>
              <w:rPr>
                <w:b/>
              </w:rPr>
            </w:pPr>
            <w:r w:rsidRPr="00D559BB">
              <w:rPr>
                <w:b/>
              </w:rPr>
              <w:t>İhracat</w:t>
            </w:r>
          </w:p>
        </w:tc>
        <w:tc>
          <w:tcPr>
            <w:tcW w:w="1704" w:type="dxa"/>
            <w:vAlign w:val="center"/>
            <w:hideMark/>
          </w:tcPr>
          <w:p w:rsidR="00E16869" w:rsidRPr="00D559BB" w:rsidRDefault="00E16869" w:rsidP="00D559BB">
            <w:pPr>
              <w:pStyle w:val="NoSpacing"/>
              <w:jc w:val="center"/>
              <w:rPr>
                <w:b/>
              </w:rPr>
            </w:pPr>
            <w:r w:rsidRPr="00D559BB">
              <w:rPr>
                <w:b/>
              </w:rPr>
              <w:t>İthalat</w:t>
            </w:r>
          </w:p>
        </w:tc>
        <w:tc>
          <w:tcPr>
            <w:tcW w:w="1704" w:type="dxa"/>
            <w:vAlign w:val="center"/>
            <w:hideMark/>
          </w:tcPr>
          <w:p w:rsidR="00E16869" w:rsidRPr="00D559BB" w:rsidRDefault="00E16869" w:rsidP="00D559BB">
            <w:pPr>
              <w:pStyle w:val="NoSpacing"/>
              <w:jc w:val="center"/>
              <w:rPr>
                <w:b/>
              </w:rPr>
            </w:pPr>
            <w:r w:rsidRPr="00D559BB">
              <w:rPr>
                <w:b/>
              </w:rPr>
              <w:t>Denge</w:t>
            </w:r>
          </w:p>
        </w:tc>
        <w:tc>
          <w:tcPr>
            <w:tcW w:w="1906" w:type="dxa"/>
            <w:vAlign w:val="center"/>
            <w:hideMark/>
          </w:tcPr>
          <w:p w:rsidR="00E16869" w:rsidRPr="00D559BB" w:rsidRDefault="00E16869" w:rsidP="00D559BB">
            <w:pPr>
              <w:pStyle w:val="NoSpacing"/>
              <w:jc w:val="center"/>
              <w:rPr>
                <w:b/>
              </w:rPr>
            </w:pPr>
            <w:r w:rsidRPr="00D559BB">
              <w:rPr>
                <w:b/>
              </w:rPr>
              <w:t>Hacim</w:t>
            </w:r>
          </w:p>
        </w:tc>
      </w:tr>
      <w:tr w:rsidR="00E16869" w:rsidRPr="00363AF3" w:rsidTr="00D559BB">
        <w:trPr>
          <w:trHeight w:val="235"/>
        </w:trPr>
        <w:tc>
          <w:tcPr>
            <w:tcW w:w="1586" w:type="dxa"/>
            <w:vAlign w:val="center"/>
            <w:hideMark/>
          </w:tcPr>
          <w:p w:rsidR="00E16869" w:rsidRPr="00896295" w:rsidRDefault="00E16869" w:rsidP="00D559BB">
            <w:pPr>
              <w:pStyle w:val="NoSpacing"/>
              <w:jc w:val="center"/>
            </w:pPr>
            <w:r w:rsidRPr="00896295">
              <w:t>2000</w:t>
            </w:r>
          </w:p>
        </w:tc>
        <w:tc>
          <w:tcPr>
            <w:tcW w:w="1839" w:type="dxa"/>
            <w:vAlign w:val="center"/>
            <w:hideMark/>
          </w:tcPr>
          <w:p w:rsidR="00E16869" w:rsidRPr="00896295" w:rsidRDefault="00E16869" w:rsidP="00D559BB">
            <w:pPr>
              <w:pStyle w:val="NoSpacing"/>
              <w:jc w:val="center"/>
            </w:pPr>
            <w:r w:rsidRPr="00896295">
              <w:t>7.976</w:t>
            </w:r>
          </w:p>
        </w:tc>
        <w:tc>
          <w:tcPr>
            <w:tcW w:w="1704" w:type="dxa"/>
            <w:vAlign w:val="center"/>
            <w:hideMark/>
          </w:tcPr>
          <w:p w:rsidR="00E16869" w:rsidRPr="00896295" w:rsidRDefault="00E16869" w:rsidP="00D559BB">
            <w:pPr>
              <w:pStyle w:val="NoSpacing"/>
              <w:jc w:val="center"/>
            </w:pPr>
            <w:r w:rsidRPr="00896295">
              <w:t>2.671</w:t>
            </w:r>
          </w:p>
        </w:tc>
        <w:tc>
          <w:tcPr>
            <w:tcW w:w="1704" w:type="dxa"/>
            <w:vAlign w:val="center"/>
            <w:hideMark/>
          </w:tcPr>
          <w:p w:rsidR="00E16869" w:rsidRPr="00896295" w:rsidRDefault="00E16869" w:rsidP="00D559BB">
            <w:pPr>
              <w:pStyle w:val="NoSpacing"/>
              <w:jc w:val="center"/>
            </w:pPr>
            <w:r w:rsidRPr="00896295">
              <w:t>5.305</w:t>
            </w:r>
          </w:p>
        </w:tc>
        <w:tc>
          <w:tcPr>
            <w:tcW w:w="1906" w:type="dxa"/>
            <w:vAlign w:val="center"/>
            <w:hideMark/>
          </w:tcPr>
          <w:p w:rsidR="00E16869" w:rsidRPr="00896295" w:rsidRDefault="00E16869" w:rsidP="00D559BB">
            <w:pPr>
              <w:pStyle w:val="NoSpacing"/>
              <w:jc w:val="center"/>
            </w:pPr>
            <w:r w:rsidRPr="00896295">
              <w:t>10.647</w:t>
            </w:r>
          </w:p>
        </w:tc>
      </w:tr>
      <w:tr w:rsidR="00E16869" w:rsidRPr="00363AF3" w:rsidTr="00D559BB">
        <w:trPr>
          <w:trHeight w:val="249"/>
        </w:trPr>
        <w:tc>
          <w:tcPr>
            <w:tcW w:w="1586" w:type="dxa"/>
            <w:vAlign w:val="center"/>
            <w:hideMark/>
          </w:tcPr>
          <w:p w:rsidR="00E16869" w:rsidRPr="00896295" w:rsidRDefault="00E16869" w:rsidP="00D559BB">
            <w:pPr>
              <w:pStyle w:val="NoSpacing"/>
              <w:jc w:val="center"/>
            </w:pPr>
            <w:r w:rsidRPr="00896295">
              <w:t>2004</w:t>
            </w:r>
          </w:p>
        </w:tc>
        <w:tc>
          <w:tcPr>
            <w:tcW w:w="1839" w:type="dxa"/>
            <w:vAlign w:val="center"/>
            <w:hideMark/>
          </w:tcPr>
          <w:p w:rsidR="00E16869" w:rsidRPr="00896295" w:rsidRDefault="00E16869" w:rsidP="00D559BB">
            <w:pPr>
              <w:pStyle w:val="NoSpacing"/>
              <w:jc w:val="center"/>
            </w:pPr>
            <w:r w:rsidRPr="00896295">
              <w:t>17.837</w:t>
            </w:r>
          </w:p>
        </w:tc>
        <w:tc>
          <w:tcPr>
            <w:tcW w:w="1704" w:type="dxa"/>
            <w:vAlign w:val="center"/>
            <w:hideMark/>
          </w:tcPr>
          <w:p w:rsidR="00E16869" w:rsidRPr="00896295" w:rsidRDefault="00E16869" w:rsidP="00D559BB">
            <w:pPr>
              <w:pStyle w:val="NoSpacing"/>
              <w:jc w:val="center"/>
            </w:pPr>
            <w:r w:rsidRPr="00896295">
              <w:t>1.600</w:t>
            </w:r>
          </w:p>
        </w:tc>
        <w:tc>
          <w:tcPr>
            <w:tcW w:w="1704" w:type="dxa"/>
            <w:vAlign w:val="center"/>
            <w:hideMark/>
          </w:tcPr>
          <w:p w:rsidR="00E16869" w:rsidRPr="00896295" w:rsidRDefault="00E16869" w:rsidP="00D559BB">
            <w:pPr>
              <w:pStyle w:val="NoSpacing"/>
              <w:jc w:val="center"/>
            </w:pPr>
            <w:r w:rsidRPr="00896295">
              <w:t>16.237</w:t>
            </w:r>
          </w:p>
        </w:tc>
        <w:tc>
          <w:tcPr>
            <w:tcW w:w="1906" w:type="dxa"/>
            <w:vAlign w:val="center"/>
            <w:hideMark/>
          </w:tcPr>
          <w:p w:rsidR="00E16869" w:rsidRPr="00896295" w:rsidRDefault="00E16869" w:rsidP="00D559BB">
            <w:pPr>
              <w:pStyle w:val="NoSpacing"/>
              <w:jc w:val="center"/>
            </w:pPr>
            <w:r w:rsidRPr="00896295">
              <w:t>19.437</w:t>
            </w:r>
          </w:p>
        </w:tc>
      </w:tr>
      <w:tr w:rsidR="00E16869" w:rsidRPr="00363AF3" w:rsidTr="00D559BB">
        <w:trPr>
          <w:trHeight w:val="235"/>
        </w:trPr>
        <w:tc>
          <w:tcPr>
            <w:tcW w:w="1586" w:type="dxa"/>
            <w:vAlign w:val="center"/>
            <w:hideMark/>
          </w:tcPr>
          <w:p w:rsidR="00E16869" w:rsidRPr="00896295" w:rsidRDefault="00E16869" w:rsidP="00D559BB">
            <w:pPr>
              <w:pStyle w:val="NoSpacing"/>
              <w:jc w:val="center"/>
            </w:pPr>
            <w:r w:rsidRPr="00896295">
              <w:t>2008</w:t>
            </w:r>
          </w:p>
        </w:tc>
        <w:tc>
          <w:tcPr>
            <w:tcW w:w="1839" w:type="dxa"/>
            <w:vAlign w:val="center"/>
            <w:hideMark/>
          </w:tcPr>
          <w:p w:rsidR="00E16869" w:rsidRPr="00896295" w:rsidRDefault="00E16869" w:rsidP="00D559BB">
            <w:pPr>
              <w:pStyle w:val="NoSpacing"/>
              <w:jc w:val="center"/>
            </w:pPr>
            <w:r w:rsidRPr="00896295">
              <w:t>233.052</w:t>
            </w:r>
          </w:p>
        </w:tc>
        <w:tc>
          <w:tcPr>
            <w:tcW w:w="1704" w:type="dxa"/>
            <w:vAlign w:val="center"/>
            <w:hideMark/>
          </w:tcPr>
          <w:p w:rsidR="00E16869" w:rsidRPr="00896295" w:rsidRDefault="00E16869" w:rsidP="00D559BB">
            <w:pPr>
              <w:pStyle w:val="NoSpacing"/>
              <w:jc w:val="center"/>
            </w:pPr>
            <w:r w:rsidRPr="00896295">
              <w:t>12.575</w:t>
            </w:r>
          </w:p>
        </w:tc>
        <w:tc>
          <w:tcPr>
            <w:tcW w:w="1704" w:type="dxa"/>
            <w:vAlign w:val="center"/>
            <w:hideMark/>
          </w:tcPr>
          <w:p w:rsidR="00E16869" w:rsidRPr="00896295" w:rsidRDefault="00E16869" w:rsidP="00D559BB">
            <w:pPr>
              <w:pStyle w:val="NoSpacing"/>
              <w:jc w:val="center"/>
            </w:pPr>
            <w:r w:rsidRPr="00896295">
              <w:t>220.476</w:t>
            </w:r>
          </w:p>
        </w:tc>
        <w:tc>
          <w:tcPr>
            <w:tcW w:w="1906" w:type="dxa"/>
            <w:vAlign w:val="center"/>
            <w:hideMark/>
          </w:tcPr>
          <w:p w:rsidR="00E16869" w:rsidRPr="00896295" w:rsidRDefault="00E16869" w:rsidP="00D559BB">
            <w:pPr>
              <w:pStyle w:val="NoSpacing"/>
              <w:jc w:val="center"/>
            </w:pPr>
            <w:r w:rsidRPr="00896295">
              <w:t>245.627</w:t>
            </w:r>
          </w:p>
        </w:tc>
      </w:tr>
      <w:tr w:rsidR="00E16869" w:rsidRPr="00363AF3" w:rsidTr="00D559BB">
        <w:trPr>
          <w:trHeight w:val="249"/>
        </w:trPr>
        <w:tc>
          <w:tcPr>
            <w:tcW w:w="1586" w:type="dxa"/>
            <w:vAlign w:val="center"/>
            <w:hideMark/>
          </w:tcPr>
          <w:p w:rsidR="00E16869" w:rsidRPr="00896295" w:rsidRDefault="00E16869" w:rsidP="00D559BB">
            <w:pPr>
              <w:pStyle w:val="NoSpacing"/>
              <w:jc w:val="center"/>
            </w:pPr>
            <w:r w:rsidRPr="00896295">
              <w:t>2013</w:t>
            </w:r>
          </w:p>
        </w:tc>
        <w:tc>
          <w:tcPr>
            <w:tcW w:w="1839" w:type="dxa"/>
            <w:vAlign w:val="center"/>
            <w:hideMark/>
          </w:tcPr>
          <w:p w:rsidR="00E16869" w:rsidRPr="00896295" w:rsidRDefault="00E16869" w:rsidP="00D559BB">
            <w:pPr>
              <w:pStyle w:val="NoSpacing"/>
              <w:jc w:val="center"/>
            </w:pPr>
            <w:r w:rsidRPr="00896295">
              <w:t>129.604</w:t>
            </w:r>
          </w:p>
        </w:tc>
        <w:tc>
          <w:tcPr>
            <w:tcW w:w="1704" w:type="dxa"/>
            <w:vAlign w:val="center"/>
            <w:hideMark/>
          </w:tcPr>
          <w:p w:rsidR="00E16869" w:rsidRPr="00896295" w:rsidRDefault="00E16869" w:rsidP="00D559BB">
            <w:pPr>
              <w:pStyle w:val="NoSpacing"/>
              <w:jc w:val="center"/>
            </w:pPr>
            <w:r w:rsidRPr="00896295">
              <w:t>14.960</w:t>
            </w:r>
          </w:p>
        </w:tc>
        <w:tc>
          <w:tcPr>
            <w:tcW w:w="1704" w:type="dxa"/>
            <w:vAlign w:val="center"/>
            <w:hideMark/>
          </w:tcPr>
          <w:p w:rsidR="00E16869" w:rsidRPr="00896295" w:rsidRDefault="00E16869" w:rsidP="00D559BB">
            <w:pPr>
              <w:pStyle w:val="NoSpacing"/>
              <w:jc w:val="center"/>
            </w:pPr>
            <w:r w:rsidRPr="00896295">
              <w:t>114.644</w:t>
            </w:r>
          </w:p>
        </w:tc>
        <w:tc>
          <w:tcPr>
            <w:tcW w:w="1906" w:type="dxa"/>
            <w:vAlign w:val="center"/>
            <w:hideMark/>
          </w:tcPr>
          <w:p w:rsidR="00E16869" w:rsidRPr="00896295" w:rsidRDefault="00E16869" w:rsidP="00D559BB">
            <w:pPr>
              <w:pStyle w:val="NoSpacing"/>
              <w:jc w:val="center"/>
            </w:pPr>
            <w:r w:rsidRPr="00896295">
              <w:t>144.564</w:t>
            </w:r>
          </w:p>
        </w:tc>
      </w:tr>
      <w:tr w:rsidR="00E16869" w:rsidRPr="00363AF3" w:rsidTr="00D559BB">
        <w:trPr>
          <w:trHeight w:val="235"/>
        </w:trPr>
        <w:tc>
          <w:tcPr>
            <w:tcW w:w="1586" w:type="dxa"/>
            <w:vAlign w:val="center"/>
            <w:hideMark/>
          </w:tcPr>
          <w:p w:rsidR="00E16869" w:rsidRPr="00896295" w:rsidRDefault="00E16869" w:rsidP="00D559BB">
            <w:pPr>
              <w:pStyle w:val="NoSpacing"/>
              <w:jc w:val="center"/>
            </w:pPr>
            <w:r w:rsidRPr="00896295">
              <w:t>2014</w:t>
            </w:r>
          </w:p>
        </w:tc>
        <w:tc>
          <w:tcPr>
            <w:tcW w:w="1839" w:type="dxa"/>
            <w:vAlign w:val="center"/>
            <w:hideMark/>
          </w:tcPr>
          <w:p w:rsidR="00E16869" w:rsidRPr="00896295" w:rsidRDefault="00E16869" w:rsidP="00D559BB">
            <w:pPr>
              <w:pStyle w:val="NoSpacing"/>
              <w:jc w:val="center"/>
            </w:pPr>
            <w:r w:rsidRPr="00896295">
              <w:t>118.157</w:t>
            </w:r>
          </w:p>
        </w:tc>
        <w:tc>
          <w:tcPr>
            <w:tcW w:w="1704" w:type="dxa"/>
            <w:vAlign w:val="center"/>
            <w:hideMark/>
          </w:tcPr>
          <w:p w:rsidR="00E16869" w:rsidRPr="00896295" w:rsidRDefault="00E16869" w:rsidP="00D559BB">
            <w:pPr>
              <w:pStyle w:val="NoSpacing"/>
              <w:jc w:val="center"/>
            </w:pPr>
            <w:r w:rsidRPr="00896295">
              <w:t>15.734</w:t>
            </w:r>
          </w:p>
        </w:tc>
        <w:tc>
          <w:tcPr>
            <w:tcW w:w="1704" w:type="dxa"/>
            <w:vAlign w:val="center"/>
            <w:hideMark/>
          </w:tcPr>
          <w:p w:rsidR="00E16869" w:rsidRPr="00896295" w:rsidRDefault="00E16869" w:rsidP="00D559BB">
            <w:pPr>
              <w:pStyle w:val="NoSpacing"/>
              <w:jc w:val="center"/>
            </w:pPr>
            <w:r w:rsidRPr="00896295">
              <w:t>102.423</w:t>
            </w:r>
          </w:p>
        </w:tc>
        <w:tc>
          <w:tcPr>
            <w:tcW w:w="1906" w:type="dxa"/>
            <w:vAlign w:val="center"/>
            <w:hideMark/>
          </w:tcPr>
          <w:p w:rsidR="00E16869" w:rsidRPr="00896295" w:rsidRDefault="00E16869" w:rsidP="00D559BB">
            <w:pPr>
              <w:pStyle w:val="NoSpacing"/>
              <w:jc w:val="center"/>
            </w:pPr>
            <w:r w:rsidRPr="00896295">
              <w:t>133.891</w:t>
            </w:r>
          </w:p>
        </w:tc>
      </w:tr>
      <w:tr w:rsidR="00E16869" w:rsidRPr="00363AF3" w:rsidTr="00D559BB">
        <w:trPr>
          <w:trHeight w:val="124"/>
        </w:trPr>
        <w:tc>
          <w:tcPr>
            <w:tcW w:w="1586" w:type="dxa"/>
            <w:vAlign w:val="center"/>
            <w:hideMark/>
          </w:tcPr>
          <w:p w:rsidR="00E16869" w:rsidRPr="00896295" w:rsidRDefault="00E16869" w:rsidP="00D559BB">
            <w:pPr>
              <w:pStyle w:val="NoSpacing"/>
              <w:jc w:val="center"/>
            </w:pPr>
            <w:r w:rsidRPr="00896295">
              <w:t>2015</w:t>
            </w:r>
          </w:p>
        </w:tc>
        <w:tc>
          <w:tcPr>
            <w:tcW w:w="1839" w:type="dxa"/>
            <w:vAlign w:val="center"/>
            <w:hideMark/>
          </w:tcPr>
          <w:p w:rsidR="00E16869" w:rsidRPr="00896295" w:rsidRDefault="00E16869" w:rsidP="00D559BB">
            <w:pPr>
              <w:pStyle w:val="NoSpacing"/>
              <w:jc w:val="center"/>
            </w:pPr>
            <w:r w:rsidRPr="00896295">
              <w:t>131.264</w:t>
            </w:r>
          </w:p>
        </w:tc>
        <w:tc>
          <w:tcPr>
            <w:tcW w:w="1704" w:type="dxa"/>
            <w:vAlign w:val="center"/>
            <w:hideMark/>
          </w:tcPr>
          <w:p w:rsidR="00E16869" w:rsidRPr="00896295" w:rsidRDefault="00E16869" w:rsidP="00D559BB">
            <w:pPr>
              <w:pStyle w:val="NoSpacing"/>
              <w:jc w:val="center"/>
            </w:pPr>
            <w:r w:rsidRPr="00896295">
              <w:t>13.241</w:t>
            </w:r>
          </w:p>
        </w:tc>
        <w:tc>
          <w:tcPr>
            <w:tcW w:w="1704" w:type="dxa"/>
            <w:vAlign w:val="center"/>
          </w:tcPr>
          <w:p w:rsidR="00E16869" w:rsidRPr="00896295" w:rsidRDefault="00E16869" w:rsidP="00D559BB">
            <w:pPr>
              <w:pStyle w:val="NoSpacing"/>
              <w:jc w:val="center"/>
            </w:pPr>
            <w:r w:rsidRPr="00896295">
              <w:t>118.023</w:t>
            </w:r>
          </w:p>
        </w:tc>
        <w:tc>
          <w:tcPr>
            <w:tcW w:w="1906" w:type="dxa"/>
            <w:vAlign w:val="center"/>
          </w:tcPr>
          <w:p w:rsidR="00E16869" w:rsidRPr="00896295" w:rsidRDefault="00E16869" w:rsidP="00D559BB">
            <w:pPr>
              <w:pStyle w:val="NoSpacing"/>
              <w:jc w:val="center"/>
            </w:pPr>
            <w:r w:rsidRPr="00896295">
              <w:t>144.505</w:t>
            </w:r>
          </w:p>
        </w:tc>
      </w:tr>
      <w:tr w:rsidR="00E16869" w:rsidRPr="00363AF3" w:rsidTr="00D559BB">
        <w:trPr>
          <w:trHeight w:val="124"/>
        </w:trPr>
        <w:tc>
          <w:tcPr>
            <w:tcW w:w="1586" w:type="dxa"/>
            <w:vAlign w:val="center"/>
          </w:tcPr>
          <w:p w:rsidR="00E16869" w:rsidRPr="00896295" w:rsidRDefault="00E16869" w:rsidP="00D559BB">
            <w:pPr>
              <w:pStyle w:val="NoSpacing"/>
              <w:jc w:val="center"/>
            </w:pPr>
            <w:r w:rsidRPr="00896295">
              <w:rPr>
                <w:rFonts w:eastAsia="Times New Roman"/>
              </w:rPr>
              <w:t>2016(1-10)</w:t>
            </w:r>
          </w:p>
        </w:tc>
        <w:tc>
          <w:tcPr>
            <w:tcW w:w="1839" w:type="dxa"/>
            <w:vAlign w:val="center"/>
          </w:tcPr>
          <w:p w:rsidR="00E16869" w:rsidRPr="00896295" w:rsidRDefault="00E16869" w:rsidP="00D559BB">
            <w:pPr>
              <w:pStyle w:val="NoSpacing"/>
              <w:jc w:val="center"/>
            </w:pPr>
            <w:r w:rsidRPr="00896295">
              <w:rPr>
                <w:rFonts w:eastAsia="Times New Roman"/>
              </w:rPr>
              <w:t>101.344</w:t>
            </w:r>
          </w:p>
        </w:tc>
        <w:tc>
          <w:tcPr>
            <w:tcW w:w="1704" w:type="dxa"/>
            <w:vAlign w:val="center"/>
          </w:tcPr>
          <w:p w:rsidR="00E16869" w:rsidRPr="00896295" w:rsidRDefault="00E16869" w:rsidP="00D559BB">
            <w:pPr>
              <w:pStyle w:val="NoSpacing"/>
              <w:jc w:val="center"/>
            </w:pPr>
            <w:r w:rsidRPr="00896295">
              <w:rPr>
                <w:rFonts w:eastAsia="Times New Roman"/>
              </w:rPr>
              <w:t>11.484</w:t>
            </w:r>
          </w:p>
        </w:tc>
        <w:tc>
          <w:tcPr>
            <w:tcW w:w="1704" w:type="dxa"/>
            <w:vAlign w:val="center"/>
          </w:tcPr>
          <w:p w:rsidR="00E16869" w:rsidRPr="00896295" w:rsidRDefault="00E16869" w:rsidP="00D559BB">
            <w:pPr>
              <w:pStyle w:val="NoSpacing"/>
              <w:jc w:val="center"/>
            </w:pPr>
            <w:r w:rsidRPr="00896295">
              <w:rPr>
                <w:rFonts w:eastAsia="Times New Roman"/>
              </w:rPr>
              <w:t>89.860</w:t>
            </w:r>
          </w:p>
        </w:tc>
        <w:tc>
          <w:tcPr>
            <w:tcW w:w="1906" w:type="dxa"/>
            <w:vAlign w:val="center"/>
          </w:tcPr>
          <w:p w:rsidR="00E16869" w:rsidRPr="00896295" w:rsidRDefault="00E16869" w:rsidP="00D559BB">
            <w:pPr>
              <w:pStyle w:val="NoSpacing"/>
              <w:jc w:val="center"/>
            </w:pPr>
            <w:r w:rsidRPr="00896295">
              <w:rPr>
                <w:rFonts w:eastAsia="Times New Roman"/>
              </w:rPr>
              <w:t>112.828</w:t>
            </w:r>
          </w:p>
        </w:tc>
      </w:tr>
    </w:tbl>
    <w:p w:rsidR="00E16869" w:rsidRPr="00E16869" w:rsidRDefault="00E16869" w:rsidP="00D559BB">
      <w:pPr>
        <w:pStyle w:val="Quote"/>
      </w:pPr>
      <w:r w:rsidRPr="00363AF3">
        <w:rPr>
          <w:lang w:val="en-US"/>
        </w:rPr>
        <w:t>Kaynak: TUİK</w:t>
      </w:r>
    </w:p>
    <w:p w:rsidR="00A17E9E" w:rsidRDefault="00A17E9E" w:rsidP="00A17E9E">
      <w:pPr>
        <w:pStyle w:val="Heading2"/>
        <w:spacing w:line="240" w:lineRule="auto"/>
      </w:pPr>
      <w:bookmarkStart w:id="43" w:name="_Toc491348196"/>
      <w:r w:rsidRPr="00D66755">
        <w:t>Türkiye ile İkili Ticaret</w:t>
      </w:r>
      <w:bookmarkEnd w:id="43"/>
    </w:p>
    <w:p w:rsidR="00D559BB" w:rsidRPr="00B45657" w:rsidRDefault="00D559BB" w:rsidP="00D559BB">
      <w:pPr>
        <w:jc w:val="both"/>
      </w:pPr>
      <w:r w:rsidRPr="00B45657">
        <w:t>Türkiye ile Kenya arasında ticaret dengesi ülkemiz lehinedir. İkili ticaretimiz fasıllar itibariyle ele alındığında, ihracatımızın daha çok sanayi ürünlerinden teşekkül ettiğini, ithalatımızın ise, yağlı tohumlar gibi üretiminde geleneksel olarak açık verdiğimiz ve gıda sanayimizin ihtiyaç duyduğu ürün gruplarından oluştuğu görülmektedir. Deri sanayimizin ihtiyacı olan ham postlar ve derilerin yanı sıra, kahve ve kimi minerallerin çok ciddi meblağlarda olmayan miktarlarda bu ülkeden karşılandığı görülmektedir.</w:t>
      </w:r>
    </w:p>
    <w:p w:rsidR="00276023" w:rsidRDefault="00D559BB" w:rsidP="00276023">
      <w:pPr>
        <w:jc w:val="both"/>
      </w:pPr>
      <w:r w:rsidRPr="00363AF3">
        <w:t>Kenya’ya ihracatımızda 2015 yılında önemli paya sahip ilk üç ürünün grubunun; “nükleer reaktörler, kazan; makina ve cihazlar”, “elektrikli makine ve cihazlar” ve “çeşitli eşyalar” olduğu g</w:t>
      </w:r>
      <w:r w:rsidR="00E85D34">
        <w:t>örülmektedir.</w:t>
      </w:r>
      <w:bookmarkStart w:id="44" w:name="_Toc491348197"/>
    </w:p>
    <w:p w:rsidR="00A17E9E" w:rsidRDefault="00A17E9E" w:rsidP="00276023">
      <w:pPr>
        <w:pStyle w:val="Heading2"/>
      </w:pPr>
      <w:r w:rsidRPr="00D66755">
        <w:t xml:space="preserve">Türkiye'nin </w:t>
      </w:r>
      <w:r w:rsidR="00D559BB" w:rsidRPr="00D559BB">
        <w:t xml:space="preserve">Kenya'ya </w:t>
      </w:r>
      <w:r w:rsidRPr="00D66755">
        <w:t>İhracatında Başlıca Ürünler (</w:t>
      </w:r>
      <w:r w:rsidR="00D559BB">
        <w:t xml:space="preserve">milyon </w:t>
      </w:r>
      <w:r w:rsidRPr="00D66755">
        <w:t>$)</w:t>
      </w:r>
      <w:bookmarkEnd w:id="44"/>
    </w:p>
    <w:tbl>
      <w:tblPr>
        <w:tblStyle w:val="TableGrid"/>
        <w:tblW w:w="9447" w:type="dxa"/>
        <w:tblInd w:w="108" w:type="dxa"/>
        <w:tblLook w:val="04A0" w:firstRow="1" w:lastRow="0" w:firstColumn="1" w:lastColumn="0" w:noHBand="0" w:noVBand="1"/>
      </w:tblPr>
      <w:tblGrid>
        <w:gridCol w:w="702"/>
        <w:gridCol w:w="5589"/>
        <w:gridCol w:w="1052"/>
        <w:gridCol w:w="1052"/>
        <w:gridCol w:w="1052"/>
      </w:tblGrid>
      <w:tr w:rsidR="00D559BB" w:rsidRPr="00363AF3" w:rsidTr="00E85D34">
        <w:trPr>
          <w:trHeight w:val="300"/>
        </w:trPr>
        <w:tc>
          <w:tcPr>
            <w:tcW w:w="702" w:type="dxa"/>
            <w:vAlign w:val="center"/>
          </w:tcPr>
          <w:p w:rsidR="00D559BB" w:rsidRPr="00D559BB" w:rsidRDefault="00E85D34" w:rsidP="00E85D34">
            <w:pPr>
              <w:pStyle w:val="NoSpacing"/>
              <w:rPr>
                <w:b/>
              </w:rPr>
            </w:pPr>
            <w:r>
              <w:rPr>
                <w:b/>
              </w:rPr>
              <w:t>GTIP</w:t>
            </w:r>
          </w:p>
        </w:tc>
        <w:tc>
          <w:tcPr>
            <w:tcW w:w="5589" w:type="dxa"/>
            <w:vAlign w:val="center"/>
          </w:tcPr>
          <w:p w:rsidR="00D559BB" w:rsidRPr="00D559BB" w:rsidRDefault="00E85D34" w:rsidP="00D559BB">
            <w:pPr>
              <w:pStyle w:val="NoSpacing"/>
              <w:rPr>
                <w:b/>
              </w:rPr>
            </w:pPr>
            <w:r>
              <w:rPr>
                <w:b/>
              </w:rPr>
              <w:t>ÜRÜMLER</w:t>
            </w:r>
          </w:p>
        </w:tc>
        <w:tc>
          <w:tcPr>
            <w:tcW w:w="1052" w:type="dxa"/>
            <w:vAlign w:val="center"/>
          </w:tcPr>
          <w:p w:rsidR="00D559BB" w:rsidRPr="00D559BB" w:rsidRDefault="00D559BB" w:rsidP="00D559BB">
            <w:pPr>
              <w:pStyle w:val="NoSpacing"/>
              <w:jc w:val="center"/>
              <w:rPr>
                <w:b/>
              </w:rPr>
            </w:pPr>
            <w:r w:rsidRPr="00D559BB">
              <w:rPr>
                <w:b/>
              </w:rPr>
              <w:t>2013</w:t>
            </w:r>
          </w:p>
        </w:tc>
        <w:tc>
          <w:tcPr>
            <w:tcW w:w="1052" w:type="dxa"/>
            <w:vAlign w:val="center"/>
          </w:tcPr>
          <w:p w:rsidR="00D559BB" w:rsidRPr="00D559BB" w:rsidRDefault="00D559BB" w:rsidP="00D559BB">
            <w:pPr>
              <w:pStyle w:val="NoSpacing"/>
              <w:jc w:val="center"/>
              <w:rPr>
                <w:b/>
              </w:rPr>
            </w:pPr>
            <w:r w:rsidRPr="00D559BB">
              <w:rPr>
                <w:b/>
              </w:rPr>
              <w:t>2014</w:t>
            </w:r>
          </w:p>
        </w:tc>
        <w:tc>
          <w:tcPr>
            <w:tcW w:w="1052" w:type="dxa"/>
            <w:vAlign w:val="center"/>
          </w:tcPr>
          <w:p w:rsidR="00D559BB" w:rsidRPr="00D559BB" w:rsidRDefault="00D559BB" w:rsidP="00D559BB">
            <w:pPr>
              <w:pStyle w:val="NoSpacing"/>
              <w:jc w:val="center"/>
              <w:rPr>
                <w:b/>
              </w:rPr>
            </w:pPr>
            <w:r w:rsidRPr="00D559BB">
              <w:rPr>
                <w:b/>
              </w:rPr>
              <w:t>2015</w:t>
            </w:r>
          </w:p>
        </w:tc>
      </w:tr>
      <w:tr w:rsidR="00E85D34" w:rsidRPr="00363AF3" w:rsidTr="00E85D34">
        <w:trPr>
          <w:trHeight w:val="300"/>
        </w:trPr>
        <w:tc>
          <w:tcPr>
            <w:tcW w:w="702" w:type="dxa"/>
            <w:vAlign w:val="center"/>
          </w:tcPr>
          <w:p w:rsidR="00E85D34" w:rsidRPr="00D559BB" w:rsidRDefault="00E85D34" w:rsidP="00D559BB">
            <w:pPr>
              <w:pStyle w:val="NoSpacing"/>
              <w:jc w:val="center"/>
              <w:rPr>
                <w:b/>
                <w:bCs/>
              </w:rPr>
            </w:pPr>
          </w:p>
        </w:tc>
        <w:tc>
          <w:tcPr>
            <w:tcW w:w="5589" w:type="dxa"/>
            <w:vAlign w:val="center"/>
          </w:tcPr>
          <w:p w:rsidR="00E85D34" w:rsidRPr="00D559BB" w:rsidRDefault="00E85D34" w:rsidP="00D559BB">
            <w:pPr>
              <w:pStyle w:val="NoSpacing"/>
              <w:rPr>
                <w:b/>
                <w:bCs/>
              </w:rPr>
            </w:pPr>
            <w:r w:rsidRPr="00D559BB">
              <w:rPr>
                <w:b/>
                <w:bCs/>
              </w:rPr>
              <w:t>Genel Toplam</w:t>
            </w:r>
          </w:p>
        </w:tc>
        <w:tc>
          <w:tcPr>
            <w:tcW w:w="1052" w:type="dxa"/>
            <w:vAlign w:val="center"/>
          </w:tcPr>
          <w:p w:rsidR="00E85D34" w:rsidRPr="00E85D34" w:rsidRDefault="00E85D34">
            <w:pPr>
              <w:pStyle w:val="NormalWeb"/>
              <w:spacing w:before="0" w:beforeAutospacing="0" w:after="150" w:afterAutospacing="0" w:line="300" w:lineRule="atLeast"/>
              <w:rPr>
                <w:rFonts w:ascii="Calibri" w:hAnsi="Calibri" w:cs="Calibri"/>
                <w:b/>
                <w:sz w:val="22"/>
                <w:szCs w:val="20"/>
              </w:rPr>
            </w:pPr>
            <w:r w:rsidRPr="00E85D34">
              <w:rPr>
                <w:rFonts w:ascii="Calibri" w:hAnsi="Calibri" w:cs="Calibri"/>
                <w:b/>
                <w:sz w:val="22"/>
                <w:szCs w:val="20"/>
              </w:rPr>
              <w:t>129,604</w:t>
            </w:r>
          </w:p>
        </w:tc>
        <w:tc>
          <w:tcPr>
            <w:tcW w:w="1052" w:type="dxa"/>
            <w:vAlign w:val="center"/>
          </w:tcPr>
          <w:p w:rsidR="00E85D34" w:rsidRPr="00E85D34" w:rsidRDefault="00E85D34">
            <w:pPr>
              <w:pStyle w:val="NormalWeb"/>
              <w:spacing w:before="0" w:beforeAutospacing="0" w:after="150" w:afterAutospacing="0" w:line="300" w:lineRule="atLeast"/>
              <w:rPr>
                <w:rFonts w:ascii="Calibri" w:hAnsi="Calibri" w:cs="Calibri"/>
                <w:b/>
                <w:sz w:val="22"/>
                <w:szCs w:val="20"/>
              </w:rPr>
            </w:pPr>
            <w:r w:rsidRPr="00E85D34">
              <w:rPr>
                <w:rFonts w:ascii="Calibri" w:hAnsi="Calibri" w:cs="Calibri"/>
                <w:b/>
                <w:sz w:val="22"/>
                <w:szCs w:val="20"/>
              </w:rPr>
              <w:t>118,157</w:t>
            </w:r>
          </w:p>
        </w:tc>
        <w:tc>
          <w:tcPr>
            <w:tcW w:w="1052" w:type="dxa"/>
            <w:vAlign w:val="center"/>
          </w:tcPr>
          <w:p w:rsidR="00E85D34" w:rsidRPr="00E85D34" w:rsidRDefault="00E85D34">
            <w:pPr>
              <w:pStyle w:val="NormalWeb"/>
              <w:spacing w:before="0" w:beforeAutospacing="0" w:after="150" w:afterAutospacing="0" w:line="300" w:lineRule="atLeast"/>
              <w:rPr>
                <w:rFonts w:ascii="Calibri" w:hAnsi="Calibri" w:cs="Calibri"/>
                <w:b/>
                <w:sz w:val="22"/>
                <w:szCs w:val="20"/>
              </w:rPr>
            </w:pPr>
            <w:r w:rsidRPr="00E85D34">
              <w:rPr>
                <w:rFonts w:ascii="Calibri" w:hAnsi="Calibri" w:cs="Calibri"/>
                <w:b/>
                <w:sz w:val="22"/>
                <w:szCs w:val="20"/>
              </w:rPr>
              <w:t>131,265</w:t>
            </w:r>
          </w:p>
        </w:tc>
      </w:tr>
      <w:tr w:rsidR="00E85D34" w:rsidRPr="00363AF3" w:rsidTr="00E85D34">
        <w:trPr>
          <w:trHeight w:val="465"/>
        </w:trPr>
        <w:tc>
          <w:tcPr>
            <w:tcW w:w="702" w:type="dxa"/>
            <w:vAlign w:val="center"/>
          </w:tcPr>
          <w:p w:rsidR="00E85D34" w:rsidRPr="00E85D34" w:rsidRDefault="00E85D34">
            <w:pPr>
              <w:pStyle w:val="NormalWeb"/>
              <w:spacing w:before="0" w:beforeAutospacing="0" w:after="150" w:afterAutospacing="0" w:line="300" w:lineRule="atLeast"/>
              <w:rPr>
                <w:rFonts w:ascii="Calibri" w:hAnsi="Calibri" w:cs="Calibri"/>
                <w:sz w:val="22"/>
                <w:szCs w:val="20"/>
              </w:rPr>
            </w:pPr>
            <w:r w:rsidRPr="00E85D34">
              <w:rPr>
                <w:rFonts w:ascii="Calibri" w:hAnsi="Calibri" w:cs="Calibri"/>
                <w:sz w:val="22"/>
                <w:szCs w:val="20"/>
              </w:rPr>
              <w:t>8437</w:t>
            </w:r>
          </w:p>
        </w:tc>
        <w:tc>
          <w:tcPr>
            <w:tcW w:w="5589" w:type="dxa"/>
            <w:vAlign w:val="center"/>
          </w:tcPr>
          <w:p w:rsidR="00E85D34" w:rsidRPr="00E85D34" w:rsidRDefault="00E85D34">
            <w:pPr>
              <w:pStyle w:val="NormalWeb"/>
              <w:spacing w:before="0" w:beforeAutospacing="0" w:after="150" w:afterAutospacing="0" w:line="300" w:lineRule="atLeast"/>
              <w:rPr>
                <w:rFonts w:ascii="Calibri" w:hAnsi="Calibri" w:cs="Calibri"/>
                <w:sz w:val="22"/>
                <w:szCs w:val="20"/>
              </w:rPr>
            </w:pPr>
            <w:r w:rsidRPr="00E85D34">
              <w:rPr>
                <w:rFonts w:ascii="Calibri" w:hAnsi="Calibri" w:cs="Calibri"/>
                <w:sz w:val="22"/>
                <w:szCs w:val="20"/>
              </w:rPr>
              <w:t>Tohum, hububat, kuru baklagilleri temizleme, tasnif etme ayıklama ve öğütmeye mahsus makina ve cihazlar                                              </w:t>
            </w:r>
          </w:p>
          <w:p w:rsidR="00E85D34" w:rsidRPr="00E85D34" w:rsidRDefault="00E85D34">
            <w:pPr>
              <w:pStyle w:val="NormalWeb"/>
              <w:spacing w:before="0" w:beforeAutospacing="0" w:after="150" w:afterAutospacing="0" w:line="300" w:lineRule="atLeast"/>
              <w:rPr>
                <w:rFonts w:ascii="Calibri" w:hAnsi="Calibri" w:cs="Calibri"/>
                <w:sz w:val="22"/>
                <w:szCs w:val="20"/>
              </w:rPr>
            </w:pPr>
            <w:r w:rsidRPr="00E85D34">
              <w:rPr>
                <w:rFonts w:ascii="Calibri" w:hAnsi="Calibri" w:cs="Calibri"/>
                <w:sz w:val="22"/>
                <w:szCs w:val="20"/>
              </w:rPr>
              <w:t> </w:t>
            </w:r>
          </w:p>
        </w:tc>
        <w:tc>
          <w:tcPr>
            <w:tcW w:w="1052" w:type="dxa"/>
            <w:vAlign w:val="center"/>
          </w:tcPr>
          <w:p w:rsidR="00E85D34" w:rsidRPr="00E85D34" w:rsidRDefault="00E85D34">
            <w:pPr>
              <w:pStyle w:val="NormalWeb"/>
              <w:spacing w:before="0" w:beforeAutospacing="0" w:after="150" w:afterAutospacing="0" w:line="300" w:lineRule="atLeast"/>
              <w:rPr>
                <w:rFonts w:ascii="Calibri" w:hAnsi="Calibri" w:cs="Calibri"/>
                <w:sz w:val="22"/>
                <w:szCs w:val="20"/>
              </w:rPr>
            </w:pPr>
            <w:r w:rsidRPr="00E85D34">
              <w:rPr>
                <w:rFonts w:ascii="Calibri" w:hAnsi="Calibri" w:cs="Calibri"/>
                <w:sz w:val="22"/>
                <w:szCs w:val="20"/>
              </w:rPr>
              <w:t>901</w:t>
            </w:r>
          </w:p>
        </w:tc>
        <w:tc>
          <w:tcPr>
            <w:tcW w:w="1052" w:type="dxa"/>
            <w:vAlign w:val="center"/>
          </w:tcPr>
          <w:p w:rsidR="00E85D34" w:rsidRPr="00E85D34" w:rsidRDefault="00E85D34">
            <w:pPr>
              <w:pStyle w:val="NormalWeb"/>
              <w:spacing w:before="0" w:beforeAutospacing="0" w:after="150" w:afterAutospacing="0" w:line="300" w:lineRule="atLeast"/>
              <w:rPr>
                <w:rFonts w:ascii="Calibri" w:hAnsi="Calibri" w:cs="Calibri"/>
                <w:sz w:val="22"/>
                <w:szCs w:val="20"/>
              </w:rPr>
            </w:pPr>
            <w:r w:rsidRPr="00E85D34">
              <w:rPr>
                <w:rFonts w:ascii="Calibri" w:hAnsi="Calibri" w:cs="Calibri"/>
                <w:sz w:val="22"/>
                <w:szCs w:val="20"/>
              </w:rPr>
              <w:t>320</w:t>
            </w:r>
          </w:p>
        </w:tc>
        <w:tc>
          <w:tcPr>
            <w:tcW w:w="1052" w:type="dxa"/>
            <w:vAlign w:val="center"/>
          </w:tcPr>
          <w:p w:rsidR="00E85D34" w:rsidRPr="00E85D34" w:rsidRDefault="00E85D34">
            <w:pPr>
              <w:pStyle w:val="NormalWeb"/>
              <w:spacing w:before="0" w:beforeAutospacing="0" w:after="150" w:afterAutospacing="0" w:line="300" w:lineRule="atLeast"/>
              <w:rPr>
                <w:rFonts w:ascii="Calibri" w:hAnsi="Calibri" w:cs="Calibri"/>
                <w:sz w:val="22"/>
                <w:szCs w:val="20"/>
              </w:rPr>
            </w:pPr>
            <w:r w:rsidRPr="00E85D34">
              <w:rPr>
                <w:rFonts w:ascii="Calibri" w:hAnsi="Calibri" w:cs="Calibri"/>
                <w:sz w:val="22"/>
                <w:szCs w:val="20"/>
              </w:rPr>
              <w:t>10,090</w:t>
            </w:r>
          </w:p>
        </w:tc>
      </w:tr>
      <w:tr w:rsidR="00E85D34" w:rsidRPr="00363AF3" w:rsidTr="00E85D34">
        <w:trPr>
          <w:trHeight w:val="300"/>
        </w:trPr>
        <w:tc>
          <w:tcPr>
            <w:tcW w:w="702" w:type="dxa"/>
            <w:vAlign w:val="center"/>
          </w:tcPr>
          <w:p w:rsidR="00E85D34" w:rsidRPr="00E85D34" w:rsidRDefault="00E85D34">
            <w:pPr>
              <w:pStyle w:val="NormalWeb"/>
              <w:spacing w:before="0" w:beforeAutospacing="0" w:after="150" w:afterAutospacing="0" w:line="300" w:lineRule="atLeast"/>
              <w:rPr>
                <w:rFonts w:ascii="Calibri" w:hAnsi="Calibri" w:cs="Calibri"/>
                <w:sz w:val="22"/>
                <w:szCs w:val="20"/>
              </w:rPr>
            </w:pPr>
            <w:r w:rsidRPr="00E85D34">
              <w:rPr>
                <w:rFonts w:ascii="Calibri" w:hAnsi="Calibri" w:cs="Calibri"/>
                <w:sz w:val="22"/>
                <w:szCs w:val="20"/>
              </w:rPr>
              <w:t>9619</w:t>
            </w:r>
          </w:p>
        </w:tc>
        <w:tc>
          <w:tcPr>
            <w:tcW w:w="5589" w:type="dxa"/>
            <w:vAlign w:val="center"/>
          </w:tcPr>
          <w:p w:rsidR="00E85D34" w:rsidRPr="00E85D34" w:rsidRDefault="00E85D34">
            <w:pPr>
              <w:pStyle w:val="NormalWeb"/>
              <w:spacing w:before="0" w:beforeAutospacing="0" w:after="150" w:afterAutospacing="0" w:line="300" w:lineRule="atLeast"/>
              <w:rPr>
                <w:rFonts w:ascii="Calibri" w:hAnsi="Calibri" w:cs="Calibri"/>
                <w:sz w:val="22"/>
                <w:szCs w:val="20"/>
              </w:rPr>
            </w:pPr>
            <w:r w:rsidRPr="00E85D34">
              <w:rPr>
                <w:rFonts w:ascii="Calibri" w:hAnsi="Calibri" w:cs="Calibri"/>
                <w:sz w:val="22"/>
                <w:szCs w:val="20"/>
              </w:rPr>
              <w:t>Hijyenik havlular ve tamponlar, bebek bezleri ve benzeri hijyenik eşya</w:t>
            </w:r>
          </w:p>
        </w:tc>
        <w:tc>
          <w:tcPr>
            <w:tcW w:w="1052" w:type="dxa"/>
            <w:vAlign w:val="center"/>
          </w:tcPr>
          <w:p w:rsidR="00E85D34" w:rsidRPr="00E85D34" w:rsidRDefault="00E85D34">
            <w:pPr>
              <w:pStyle w:val="NormalWeb"/>
              <w:spacing w:before="0" w:beforeAutospacing="0" w:after="150" w:afterAutospacing="0" w:line="300" w:lineRule="atLeast"/>
              <w:rPr>
                <w:rFonts w:ascii="Calibri" w:hAnsi="Calibri" w:cs="Calibri"/>
                <w:sz w:val="22"/>
                <w:szCs w:val="20"/>
              </w:rPr>
            </w:pPr>
            <w:r w:rsidRPr="00E85D34">
              <w:rPr>
                <w:rFonts w:ascii="Calibri" w:hAnsi="Calibri" w:cs="Calibri"/>
                <w:sz w:val="22"/>
                <w:szCs w:val="20"/>
              </w:rPr>
              <w:t>7,474</w:t>
            </w:r>
          </w:p>
        </w:tc>
        <w:tc>
          <w:tcPr>
            <w:tcW w:w="1052" w:type="dxa"/>
            <w:vAlign w:val="center"/>
          </w:tcPr>
          <w:p w:rsidR="00E85D34" w:rsidRPr="00E85D34" w:rsidRDefault="00E85D34">
            <w:pPr>
              <w:pStyle w:val="NormalWeb"/>
              <w:spacing w:before="0" w:beforeAutospacing="0" w:after="150" w:afterAutospacing="0" w:line="300" w:lineRule="atLeast"/>
              <w:rPr>
                <w:rFonts w:ascii="Calibri" w:hAnsi="Calibri" w:cs="Calibri"/>
                <w:sz w:val="22"/>
                <w:szCs w:val="20"/>
              </w:rPr>
            </w:pPr>
            <w:r w:rsidRPr="00E85D34">
              <w:rPr>
                <w:rFonts w:ascii="Calibri" w:hAnsi="Calibri" w:cs="Calibri"/>
                <w:sz w:val="22"/>
                <w:szCs w:val="20"/>
              </w:rPr>
              <w:t>7,211</w:t>
            </w:r>
          </w:p>
        </w:tc>
        <w:tc>
          <w:tcPr>
            <w:tcW w:w="1052" w:type="dxa"/>
            <w:vAlign w:val="center"/>
          </w:tcPr>
          <w:p w:rsidR="00E85D34" w:rsidRPr="00E85D34" w:rsidRDefault="00E85D34">
            <w:pPr>
              <w:pStyle w:val="NormalWeb"/>
              <w:spacing w:before="0" w:beforeAutospacing="0" w:after="150" w:afterAutospacing="0" w:line="300" w:lineRule="atLeast"/>
              <w:rPr>
                <w:rFonts w:ascii="Calibri" w:hAnsi="Calibri" w:cs="Calibri"/>
                <w:sz w:val="22"/>
                <w:szCs w:val="20"/>
              </w:rPr>
            </w:pPr>
            <w:r w:rsidRPr="00E85D34">
              <w:rPr>
                <w:rFonts w:ascii="Calibri" w:hAnsi="Calibri" w:cs="Calibri"/>
                <w:sz w:val="22"/>
                <w:szCs w:val="20"/>
              </w:rPr>
              <w:t>9,332</w:t>
            </w:r>
          </w:p>
        </w:tc>
      </w:tr>
      <w:tr w:rsidR="00E85D34" w:rsidRPr="00363AF3" w:rsidTr="00E85D34">
        <w:trPr>
          <w:trHeight w:val="300"/>
        </w:trPr>
        <w:tc>
          <w:tcPr>
            <w:tcW w:w="702" w:type="dxa"/>
            <w:vAlign w:val="center"/>
          </w:tcPr>
          <w:p w:rsidR="00E85D34" w:rsidRPr="00E85D34" w:rsidRDefault="00E85D34">
            <w:pPr>
              <w:pStyle w:val="NormalWeb"/>
              <w:spacing w:before="0" w:beforeAutospacing="0" w:after="150" w:afterAutospacing="0" w:line="300" w:lineRule="atLeast"/>
              <w:rPr>
                <w:rFonts w:ascii="Calibri" w:hAnsi="Calibri" w:cs="Calibri"/>
                <w:sz w:val="22"/>
                <w:szCs w:val="20"/>
              </w:rPr>
            </w:pPr>
            <w:r w:rsidRPr="00E85D34">
              <w:rPr>
                <w:rFonts w:ascii="Calibri" w:hAnsi="Calibri" w:cs="Calibri"/>
                <w:sz w:val="22"/>
                <w:szCs w:val="20"/>
              </w:rPr>
              <w:t>0713</w:t>
            </w:r>
          </w:p>
        </w:tc>
        <w:tc>
          <w:tcPr>
            <w:tcW w:w="5589" w:type="dxa"/>
            <w:vAlign w:val="center"/>
          </w:tcPr>
          <w:p w:rsidR="00E85D34" w:rsidRPr="00E85D34" w:rsidRDefault="00E85D34">
            <w:pPr>
              <w:pStyle w:val="NormalWeb"/>
              <w:spacing w:before="0" w:beforeAutospacing="0" w:after="150" w:afterAutospacing="0" w:line="300" w:lineRule="atLeast"/>
              <w:rPr>
                <w:rFonts w:ascii="Calibri" w:hAnsi="Calibri" w:cs="Calibri"/>
                <w:sz w:val="22"/>
                <w:szCs w:val="20"/>
              </w:rPr>
            </w:pPr>
            <w:r w:rsidRPr="00E85D34">
              <w:rPr>
                <w:rFonts w:ascii="Calibri" w:hAnsi="Calibri" w:cs="Calibri"/>
                <w:sz w:val="22"/>
                <w:szCs w:val="20"/>
              </w:rPr>
              <w:t>               </w:t>
            </w:r>
          </w:p>
          <w:p w:rsidR="00E85D34" w:rsidRPr="00E85D34" w:rsidRDefault="00E85D34">
            <w:pPr>
              <w:pStyle w:val="NormalWeb"/>
              <w:spacing w:before="0" w:beforeAutospacing="0" w:after="150" w:afterAutospacing="0" w:line="300" w:lineRule="atLeast"/>
              <w:rPr>
                <w:rFonts w:ascii="Calibri" w:hAnsi="Calibri" w:cs="Calibri"/>
                <w:sz w:val="22"/>
                <w:szCs w:val="20"/>
              </w:rPr>
            </w:pPr>
            <w:r w:rsidRPr="00E85D34">
              <w:rPr>
                <w:rFonts w:ascii="Calibri" w:hAnsi="Calibri" w:cs="Calibri"/>
                <w:sz w:val="22"/>
                <w:szCs w:val="20"/>
              </w:rPr>
              <w:t>Kuru baklagiller (kabuksuz) (taneleri ikiye ayrılmış)</w:t>
            </w:r>
          </w:p>
        </w:tc>
        <w:tc>
          <w:tcPr>
            <w:tcW w:w="1052" w:type="dxa"/>
            <w:vAlign w:val="center"/>
          </w:tcPr>
          <w:p w:rsidR="00E85D34" w:rsidRPr="00E85D34" w:rsidRDefault="00E85D34">
            <w:pPr>
              <w:pStyle w:val="NormalWeb"/>
              <w:spacing w:before="0" w:beforeAutospacing="0" w:after="150" w:afterAutospacing="0" w:line="300" w:lineRule="atLeast"/>
              <w:rPr>
                <w:rFonts w:ascii="Calibri" w:hAnsi="Calibri" w:cs="Calibri"/>
                <w:sz w:val="22"/>
                <w:szCs w:val="20"/>
              </w:rPr>
            </w:pPr>
            <w:r w:rsidRPr="00E85D34">
              <w:rPr>
                <w:rFonts w:ascii="Calibri" w:hAnsi="Calibri" w:cs="Calibri"/>
                <w:sz w:val="22"/>
                <w:szCs w:val="20"/>
              </w:rPr>
              <w:t>3,925</w:t>
            </w:r>
          </w:p>
        </w:tc>
        <w:tc>
          <w:tcPr>
            <w:tcW w:w="1052" w:type="dxa"/>
            <w:vAlign w:val="center"/>
          </w:tcPr>
          <w:p w:rsidR="00E85D34" w:rsidRPr="00E85D34" w:rsidRDefault="00E85D34">
            <w:pPr>
              <w:pStyle w:val="NormalWeb"/>
              <w:spacing w:before="0" w:beforeAutospacing="0" w:after="150" w:afterAutospacing="0" w:line="300" w:lineRule="atLeast"/>
              <w:rPr>
                <w:rFonts w:ascii="Calibri" w:hAnsi="Calibri" w:cs="Calibri"/>
                <w:sz w:val="22"/>
                <w:szCs w:val="20"/>
              </w:rPr>
            </w:pPr>
            <w:r w:rsidRPr="00E85D34">
              <w:rPr>
                <w:rFonts w:ascii="Calibri" w:hAnsi="Calibri" w:cs="Calibri"/>
                <w:sz w:val="22"/>
                <w:szCs w:val="20"/>
              </w:rPr>
              <w:t>2,349</w:t>
            </w:r>
          </w:p>
        </w:tc>
        <w:tc>
          <w:tcPr>
            <w:tcW w:w="1052" w:type="dxa"/>
            <w:vAlign w:val="center"/>
          </w:tcPr>
          <w:p w:rsidR="00E85D34" w:rsidRPr="00E85D34" w:rsidRDefault="00E85D34">
            <w:pPr>
              <w:pStyle w:val="NormalWeb"/>
              <w:spacing w:before="0" w:beforeAutospacing="0" w:after="150" w:afterAutospacing="0" w:line="300" w:lineRule="atLeast"/>
              <w:rPr>
                <w:rFonts w:ascii="Calibri" w:hAnsi="Calibri" w:cs="Calibri"/>
                <w:sz w:val="22"/>
                <w:szCs w:val="20"/>
              </w:rPr>
            </w:pPr>
            <w:r w:rsidRPr="00E85D34">
              <w:rPr>
                <w:rFonts w:ascii="Calibri" w:hAnsi="Calibri" w:cs="Calibri"/>
                <w:sz w:val="22"/>
                <w:szCs w:val="20"/>
              </w:rPr>
              <w:t>5,684</w:t>
            </w:r>
          </w:p>
        </w:tc>
      </w:tr>
      <w:tr w:rsidR="00E85D34" w:rsidRPr="00363AF3" w:rsidTr="00E85D34">
        <w:trPr>
          <w:trHeight w:val="300"/>
        </w:trPr>
        <w:tc>
          <w:tcPr>
            <w:tcW w:w="702" w:type="dxa"/>
            <w:vAlign w:val="center"/>
          </w:tcPr>
          <w:p w:rsidR="00E85D34" w:rsidRPr="00E85D34" w:rsidRDefault="00E85D34">
            <w:pPr>
              <w:pStyle w:val="NormalWeb"/>
              <w:spacing w:before="0" w:beforeAutospacing="0" w:after="150" w:afterAutospacing="0" w:line="300" w:lineRule="atLeast"/>
              <w:rPr>
                <w:rFonts w:ascii="Calibri" w:hAnsi="Calibri" w:cs="Calibri"/>
                <w:sz w:val="22"/>
                <w:szCs w:val="20"/>
              </w:rPr>
            </w:pPr>
            <w:r w:rsidRPr="00E85D34">
              <w:rPr>
                <w:rFonts w:ascii="Calibri" w:hAnsi="Calibri" w:cs="Calibri"/>
                <w:sz w:val="22"/>
                <w:szCs w:val="20"/>
              </w:rPr>
              <w:t>1101</w:t>
            </w:r>
          </w:p>
        </w:tc>
        <w:tc>
          <w:tcPr>
            <w:tcW w:w="5589" w:type="dxa"/>
            <w:vAlign w:val="center"/>
          </w:tcPr>
          <w:p w:rsidR="00E85D34" w:rsidRPr="00E85D34" w:rsidRDefault="00E85D34">
            <w:pPr>
              <w:pStyle w:val="NormalWeb"/>
              <w:spacing w:before="0" w:beforeAutospacing="0" w:after="150" w:afterAutospacing="0" w:line="300" w:lineRule="atLeast"/>
              <w:rPr>
                <w:rFonts w:ascii="Calibri" w:hAnsi="Calibri" w:cs="Calibri"/>
                <w:sz w:val="22"/>
                <w:szCs w:val="20"/>
              </w:rPr>
            </w:pPr>
            <w:r w:rsidRPr="00E85D34">
              <w:rPr>
                <w:rFonts w:ascii="Calibri" w:hAnsi="Calibri" w:cs="Calibri"/>
                <w:sz w:val="22"/>
                <w:szCs w:val="20"/>
              </w:rPr>
              <w:t>               </w:t>
            </w:r>
          </w:p>
          <w:p w:rsidR="00E85D34" w:rsidRPr="00E85D34" w:rsidRDefault="00E85D34">
            <w:pPr>
              <w:pStyle w:val="NormalWeb"/>
              <w:spacing w:before="0" w:beforeAutospacing="0" w:after="150" w:afterAutospacing="0" w:line="300" w:lineRule="atLeast"/>
              <w:rPr>
                <w:rFonts w:ascii="Calibri" w:hAnsi="Calibri" w:cs="Calibri"/>
                <w:sz w:val="22"/>
                <w:szCs w:val="20"/>
              </w:rPr>
            </w:pPr>
            <w:r w:rsidRPr="00E85D34">
              <w:rPr>
                <w:rFonts w:ascii="Calibri" w:hAnsi="Calibri" w:cs="Calibri"/>
                <w:sz w:val="22"/>
                <w:szCs w:val="20"/>
              </w:rPr>
              <w:t>Buğday unu/mahlut unu</w:t>
            </w:r>
          </w:p>
        </w:tc>
        <w:tc>
          <w:tcPr>
            <w:tcW w:w="1052" w:type="dxa"/>
            <w:vAlign w:val="center"/>
          </w:tcPr>
          <w:p w:rsidR="00E85D34" w:rsidRPr="00E85D34" w:rsidRDefault="00E85D34">
            <w:pPr>
              <w:pStyle w:val="NormalWeb"/>
              <w:spacing w:before="0" w:beforeAutospacing="0" w:after="150" w:afterAutospacing="0" w:line="300" w:lineRule="atLeast"/>
              <w:rPr>
                <w:rFonts w:ascii="Calibri" w:hAnsi="Calibri" w:cs="Calibri"/>
                <w:sz w:val="22"/>
                <w:szCs w:val="20"/>
              </w:rPr>
            </w:pPr>
            <w:r w:rsidRPr="00E85D34">
              <w:rPr>
                <w:rFonts w:ascii="Calibri" w:hAnsi="Calibri" w:cs="Calibri"/>
                <w:sz w:val="22"/>
                <w:szCs w:val="20"/>
              </w:rPr>
              <w:t>3,785</w:t>
            </w:r>
          </w:p>
        </w:tc>
        <w:tc>
          <w:tcPr>
            <w:tcW w:w="1052" w:type="dxa"/>
            <w:vAlign w:val="center"/>
          </w:tcPr>
          <w:p w:rsidR="00E85D34" w:rsidRPr="00E85D34" w:rsidRDefault="00E85D34">
            <w:pPr>
              <w:pStyle w:val="NormalWeb"/>
              <w:spacing w:before="0" w:beforeAutospacing="0" w:after="150" w:afterAutospacing="0" w:line="300" w:lineRule="atLeast"/>
              <w:rPr>
                <w:rFonts w:ascii="Calibri" w:hAnsi="Calibri" w:cs="Calibri"/>
                <w:sz w:val="22"/>
                <w:szCs w:val="20"/>
              </w:rPr>
            </w:pPr>
            <w:r w:rsidRPr="00E85D34">
              <w:rPr>
                <w:rFonts w:ascii="Calibri" w:hAnsi="Calibri" w:cs="Calibri"/>
                <w:sz w:val="22"/>
                <w:szCs w:val="20"/>
              </w:rPr>
              <w:t>3,233</w:t>
            </w:r>
          </w:p>
        </w:tc>
        <w:tc>
          <w:tcPr>
            <w:tcW w:w="1052" w:type="dxa"/>
            <w:vAlign w:val="center"/>
          </w:tcPr>
          <w:p w:rsidR="00E85D34" w:rsidRPr="00E85D34" w:rsidRDefault="00E85D34">
            <w:pPr>
              <w:pStyle w:val="NormalWeb"/>
              <w:spacing w:before="0" w:beforeAutospacing="0" w:after="150" w:afterAutospacing="0" w:line="300" w:lineRule="atLeast"/>
              <w:rPr>
                <w:rFonts w:ascii="Calibri" w:hAnsi="Calibri" w:cs="Calibri"/>
                <w:sz w:val="22"/>
                <w:szCs w:val="20"/>
              </w:rPr>
            </w:pPr>
            <w:r w:rsidRPr="00E85D34">
              <w:rPr>
                <w:rFonts w:ascii="Calibri" w:hAnsi="Calibri" w:cs="Calibri"/>
                <w:sz w:val="22"/>
                <w:szCs w:val="20"/>
              </w:rPr>
              <w:t>4,647</w:t>
            </w:r>
          </w:p>
        </w:tc>
      </w:tr>
      <w:tr w:rsidR="00E85D34" w:rsidRPr="00363AF3" w:rsidTr="00E85D34">
        <w:trPr>
          <w:trHeight w:val="300"/>
        </w:trPr>
        <w:tc>
          <w:tcPr>
            <w:tcW w:w="702" w:type="dxa"/>
            <w:vAlign w:val="center"/>
          </w:tcPr>
          <w:p w:rsidR="00E85D34" w:rsidRPr="00E85D34" w:rsidRDefault="00E85D34">
            <w:pPr>
              <w:pStyle w:val="NormalWeb"/>
              <w:spacing w:before="0" w:beforeAutospacing="0" w:after="150" w:afterAutospacing="0" w:line="300" w:lineRule="atLeast"/>
              <w:rPr>
                <w:rFonts w:ascii="Calibri" w:hAnsi="Calibri" w:cs="Calibri"/>
                <w:sz w:val="22"/>
                <w:szCs w:val="20"/>
              </w:rPr>
            </w:pPr>
            <w:r w:rsidRPr="00E85D34">
              <w:rPr>
                <w:rFonts w:ascii="Calibri" w:hAnsi="Calibri" w:cs="Calibri"/>
                <w:sz w:val="22"/>
                <w:szCs w:val="20"/>
              </w:rPr>
              <w:t>3102</w:t>
            </w:r>
          </w:p>
        </w:tc>
        <w:tc>
          <w:tcPr>
            <w:tcW w:w="5589" w:type="dxa"/>
            <w:vAlign w:val="center"/>
          </w:tcPr>
          <w:p w:rsidR="00E85D34" w:rsidRPr="00E85D34" w:rsidRDefault="00E85D34">
            <w:pPr>
              <w:pStyle w:val="NormalWeb"/>
              <w:spacing w:before="0" w:beforeAutospacing="0" w:after="150" w:afterAutospacing="0" w:line="300" w:lineRule="atLeast"/>
              <w:rPr>
                <w:rFonts w:ascii="Calibri" w:hAnsi="Calibri" w:cs="Calibri"/>
                <w:sz w:val="22"/>
                <w:szCs w:val="20"/>
              </w:rPr>
            </w:pPr>
            <w:r w:rsidRPr="00E85D34">
              <w:rPr>
                <w:rFonts w:ascii="Calibri" w:hAnsi="Calibri" w:cs="Calibri"/>
                <w:sz w:val="22"/>
                <w:szCs w:val="20"/>
              </w:rPr>
              <w:t>               </w:t>
            </w:r>
          </w:p>
          <w:p w:rsidR="00E85D34" w:rsidRPr="00E85D34" w:rsidRDefault="00E85D34">
            <w:pPr>
              <w:pStyle w:val="NormalWeb"/>
              <w:spacing w:before="0" w:beforeAutospacing="0" w:after="150" w:afterAutospacing="0" w:line="300" w:lineRule="atLeast"/>
              <w:rPr>
                <w:rFonts w:ascii="Calibri" w:hAnsi="Calibri" w:cs="Calibri"/>
                <w:sz w:val="22"/>
                <w:szCs w:val="20"/>
              </w:rPr>
            </w:pPr>
            <w:r w:rsidRPr="00E85D34">
              <w:rPr>
                <w:rFonts w:ascii="Calibri" w:hAnsi="Calibri" w:cs="Calibri"/>
                <w:sz w:val="22"/>
                <w:szCs w:val="20"/>
              </w:rPr>
              <w:t>Azotlu mineral veya kimyasal gübreler</w:t>
            </w:r>
          </w:p>
        </w:tc>
        <w:tc>
          <w:tcPr>
            <w:tcW w:w="1052" w:type="dxa"/>
            <w:vAlign w:val="center"/>
          </w:tcPr>
          <w:p w:rsidR="00E85D34" w:rsidRPr="00E85D34" w:rsidRDefault="00E85D34">
            <w:pPr>
              <w:pStyle w:val="NormalWeb"/>
              <w:spacing w:before="0" w:beforeAutospacing="0" w:after="150" w:afterAutospacing="0" w:line="300" w:lineRule="atLeast"/>
              <w:rPr>
                <w:rFonts w:ascii="Calibri" w:hAnsi="Calibri" w:cs="Calibri"/>
                <w:sz w:val="22"/>
                <w:szCs w:val="20"/>
              </w:rPr>
            </w:pPr>
            <w:r w:rsidRPr="00E85D34">
              <w:rPr>
                <w:rFonts w:ascii="Calibri" w:hAnsi="Calibri" w:cs="Calibri"/>
                <w:sz w:val="22"/>
                <w:szCs w:val="20"/>
              </w:rPr>
              <w:t>0</w:t>
            </w:r>
          </w:p>
        </w:tc>
        <w:tc>
          <w:tcPr>
            <w:tcW w:w="1052" w:type="dxa"/>
            <w:vAlign w:val="center"/>
          </w:tcPr>
          <w:p w:rsidR="00E85D34" w:rsidRPr="00E85D34" w:rsidRDefault="00E85D34">
            <w:pPr>
              <w:pStyle w:val="NormalWeb"/>
              <w:spacing w:before="0" w:beforeAutospacing="0" w:after="150" w:afterAutospacing="0" w:line="300" w:lineRule="atLeast"/>
              <w:rPr>
                <w:rFonts w:ascii="Calibri" w:hAnsi="Calibri" w:cs="Calibri"/>
                <w:sz w:val="22"/>
                <w:szCs w:val="20"/>
              </w:rPr>
            </w:pPr>
            <w:r w:rsidRPr="00E85D34">
              <w:rPr>
                <w:rFonts w:ascii="Calibri" w:hAnsi="Calibri" w:cs="Calibri"/>
                <w:sz w:val="22"/>
                <w:szCs w:val="20"/>
              </w:rPr>
              <w:t>1,056</w:t>
            </w:r>
          </w:p>
        </w:tc>
        <w:tc>
          <w:tcPr>
            <w:tcW w:w="1052" w:type="dxa"/>
            <w:vAlign w:val="center"/>
          </w:tcPr>
          <w:p w:rsidR="00E85D34" w:rsidRPr="00E85D34" w:rsidRDefault="00E85D34">
            <w:pPr>
              <w:pStyle w:val="NormalWeb"/>
              <w:spacing w:before="0" w:beforeAutospacing="0" w:after="150" w:afterAutospacing="0" w:line="300" w:lineRule="atLeast"/>
              <w:rPr>
                <w:rFonts w:ascii="Calibri" w:hAnsi="Calibri" w:cs="Calibri"/>
                <w:sz w:val="22"/>
                <w:szCs w:val="20"/>
              </w:rPr>
            </w:pPr>
            <w:r w:rsidRPr="00E85D34">
              <w:rPr>
                <w:rFonts w:ascii="Calibri" w:hAnsi="Calibri" w:cs="Calibri"/>
                <w:sz w:val="22"/>
                <w:szCs w:val="20"/>
              </w:rPr>
              <w:t>4,445</w:t>
            </w:r>
          </w:p>
        </w:tc>
      </w:tr>
    </w:tbl>
    <w:p w:rsidR="004C12DB" w:rsidRPr="00363AF3" w:rsidRDefault="004C12DB" w:rsidP="00276023">
      <w:pPr>
        <w:pStyle w:val="NoSpacing"/>
      </w:pPr>
      <w:r w:rsidRPr="00363AF3">
        <w:t>Kaynak: Ekonomi Bakanlığı Bilgi Sistemi</w:t>
      </w:r>
    </w:p>
    <w:p w:rsidR="00276023" w:rsidRDefault="00276023" w:rsidP="004C12DB">
      <w:pPr>
        <w:jc w:val="both"/>
        <w:rPr>
          <w:lang w:val="en-US"/>
        </w:rPr>
      </w:pPr>
    </w:p>
    <w:p w:rsidR="00D559BB" w:rsidRPr="00D559BB" w:rsidRDefault="004C12DB" w:rsidP="004C12DB">
      <w:pPr>
        <w:jc w:val="both"/>
      </w:pPr>
      <w:r w:rsidRPr="00363AF3">
        <w:rPr>
          <w:lang w:val="en-US"/>
        </w:rPr>
        <w:t xml:space="preserve">Kenya'ya ihracatımızda başlıca ürünlerin ise yıllar itibarıyla kısmi değişiklik göstermekle beraber hijyenik eşya, </w:t>
      </w:r>
      <w:proofErr w:type="gramStart"/>
      <w:r w:rsidRPr="00363AF3">
        <w:rPr>
          <w:lang w:val="en-US"/>
        </w:rPr>
        <w:t>oto</w:t>
      </w:r>
      <w:proofErr w:type="gramEnd"/>
      <w:r w:rsidRPr="00363AF3">
        <w:rPr>
          <w:lang w:val="en-US"/>
        </w:rPr>
        <w:t xml:space="preserve"> yedek parçaları, traktör, buğday unu, elektrikli su ısıtıcıları ve demir-çelik çubuk gibi ürünlerden ibarettir.</w:t>
      </w:r>
    </w:p>
    <w:p w:rsidR="00A17E9E" w:rsidRPr="009A4D92" w:rsidRDefault="00A17E9E" w:rsidP="004C12DB">
      <w:pPr>
        <w:pStyle w:val="Heading2"/>
        <w:spacing w:line="240" w:lineRule="auto"/>
      </w:pPr>
      <w:bookmarkStart w:id="45" w:name="_Toc491348198"/>
      <w:r w:rsidRPr="00D66755">
        <w:t xml:space="preserve">Türkiye'nin </w:t>
      </w:r>
      <w:r w:rsidR="00D559BB">
        <w:t>Kenya'd</w:t>
      </w:r>
      <w:r w:rsidR="00D559BB" w:rsidRPr="00D559BB">
        <w:t>a</w:t>
      </w:r>
      <w:r w:rsidR="00D559BB">
        <w:t>n</w:t>
      </w:r>
      <w:r w:rsidR="00D559BB" w:rsidRPr="00D559BB">
        <w:t xml:space="preserve"> </w:t>
      </w:r>
      <w:r w:rsidRPr="00D66755">
        <w:t xml:space="preserve">İthalatında Başlıca Ürünler </w:t>
      </w:r>
      <w:r w:rsidR="00D559BB" w:rsidRPr="00D66755">
        <w:t>(</w:t>
      </w:r>
      <w:r w:rsidR="00D559BB">
        <w:t xml:space="preserve">milyon </w:t>
      </w:r>
      <w:r w:rsidR="00D559BB" w:rsidRPr="00D66755">
        <w:t>$)</w:t>
      </w:r>
      <w:bookmarkEnd w:id="45"/>
    </w:p>
    <w:tbl>
      <w:tblPr>
        <w:tblStyle w:val="TableGrid"/>
        <w:tblW w:w="9177" w:type="dxa"/>
        <w:tblInd w:w="108" w:type="dxa"/>
        <w:tblLook w:val="04A0" w:firstRow="1" w:lastRow="0" w:firstColumn="1" w:lastColumn="0" w:noHBand="0" w:noVBand="1"/>
      </w:tblPr>
      <w:tblGrid>
        <w:gridCol w:w="767"/>
        <w:gridCol w:w="5353"/>
        <w:gridCol w:w="1019"/>
        <w:gridCol w:w="1019"/>
        <w:gridCol w:w="1019"/>
      </w:tblGrid>
      <w:tr w:rsidR="004C12DB" w:rsidRPr="00363AF3" w:rsidTr="00E85D34">
        <w:trPr>
          <w:trHeight w:val="303"/>
        </w:trPr>
        <w:tc>
          <w:tcPr>
            <w:tcW w:w="767" w:type="dxa"/>
            <w:vAlign w:val="center"/>
          </w:tcPr>
          <w:p w:rsidR="004C12DB" w:rsidRPr="004C12DB" w:rsidRDefault="004C12DB" w:rsidP="004C12DB">
            <w:pPr>
              <w:pStyle w:val="NoSpacing"/>
              <w:jc w:val="center"/>
              <w:rPr>
                <w:b/>
              </w:rPr>
            </w:pPr>
            <w:r w:rsidRPr="004C12DB">
              <w:rPr>
                <w:b/>
              </w:rPr>
              <w:t>GTIP</w:t>
            </w:r>
          </w:p>
        </w:tc>
        <w:tc>
          <w:tcPr>
            <w:tcW w:w="5353" w:type="dxa"/>
            <w:vAlign w:val="center"/>
          </w:tcPr>
          <w:p w:rsidR="004C12DB" w:rsidRPr="004C12DB" w:rsidRDefault="00E85D34" w:rsidP="004C12DB">
            <w:pPr>
              <w:pStyle w:val="NoSpacing"/>
              <w:rPr>
                <w:b/>
              </w:rPr>
            </w:pPr>
            <w:r>
              <w:rPr>
                <w:b/>
              </w:rPr>
              <w:t>ÜRÜNLER</w:t>
            </w:r>
          </w:p>
        </w:tc>
        <w:tc>
          <w:tcPr>
            <w:tcW w:w="1019" w:type="dxa"/>
            <w:vAlign w:val="center"/>
          </w:tcPr>
          <w:p w:rsidR="004C12DB" w:rsidRPr="004C12DB" w:rsidRDefault="004C12DB" w:rsidP="00E85D34">
            <w:pPr>
              <w:pStyle w:val="NoSpacing"/>
              <w:jc w:val="center"/>
              <w:rPr>
                <w:b/>
              </w:rPr>
            </w:pPr>
            <w:r w:rsidRPr="004C12DB">
              <w:rPr>
                <w:b/>
              </w:rPr>
              <w:t>2013</w:t>
            </w:r>
          </w:p>
        </w:tc>
        <w:tc>
          <w:tcPr>
            <w:tcW w:w="1019" w:type="dxa"/>
            <w:vAlign w:val="center"/>
          </w:tcPr>
          <w:p w:rsidR="004C12DB" w:rsidRPr="004C12DB" w:rsidRDefault="004C12DB" w:rsidP="00E85D34">
            <w:pPr>
              <w:pStyle w:val="NoSpacing"/>
              <w:jc w:val="center"/>
              <w:rPr>
                <w:b/>
              </w:rPr>
            </w:pPr>
            <w:r w:rsidRPr="004C12DB">
              <w:rPr>
                <w:b/>
              </w:rPr>
              <w:t>2014</w:t>
            </w:r>
          </w:p>
        </w:tc>
        <w:tc>
          <w:tcPr>
            <w:tcW w:w="1019" w:type="dxa"/>
            <w:vAlign w:val="center"/>
          </w:tcPr>
          <w:p w:rsidR="004C12DB" w:rsidRPr="004C12DB" w:rsidRDefault="004C12DB" w:rsidP="00E85D34">
            <w:pPr>
              <w:pStyle w:val="NoSpacing"/>
              <w:jc w:val="center"/>
              <w:rPr>
                <w:b/>
              </w:rPr>
            </w:pPr>
            <w:r w:rsidRPr="004C12DB">
              <w:rPr>
                <w:b/>
              </w:rPr>
              <w:t>2015</w:t>
            </w:r>
          </w:p>
        </w:tc>
      </w:tr>
      <w:tr w:rsidR="00E85D34" w:rsidRPr="00363AF3" w:rsidTr="00E85D34">
        <w:trPr>
          <w:trHeight w:val="303"/>
        </w:trPr>
        <w:tc>
          <w:tcPr>
            <w:tcW w:w="767" w:type="dxa"/>
            <w:vAlign w:val="center"/>
          </w:tcPr>
          <w:p w:rsidR="00E85D34" w:rsidRPr="004C12DB" w:rsidRDefault="00E85D34" w:rsidP="004C12DB">
            <w:pPr>
              <w:pStyle w:val="NoSpacing"/>
              <w:jc w:val="center"/>
              <w:rPr>
                <w:b/>
                <w:bCs/>
              </w:rPr>
            </w:pPr>
          </w:p>
        </w:tc>
        <w:tc>
          <w:tcPr>
            <w:tcW w:w="5353" w:type="dxa"/>
            <w:vAlign w:val="center"/>
          </w:tcPr>
          <w:p w:rsidR="00E85D34" w:rsidRPr="004C12DB" w:rsidRDefault="00E85D34" w:rsidP="004C12DB">
            <w:pPr>
              <w:pStyle w:val="NoSpacing"/>
              <w:rPr>
                <w:b/>
                <w:bCs/>
              </w:rPr>
            </w:pPr>
            <w:r w:rsidRPr="004C12DB">
              <w:rPr>
                <w:b/>
                <w:bCs/>
              </w:rPr>
              <w:t>Genel Toplam</w:t>
            </w:r>
          </w:p>
        </w:tc>
        <w:tc>
          <w:tcPr>
            <w:tcW w:w="1019" w:type="dxa"/>
            <w:vAlign w:val="center"/>
          </w:tcPr>
          <w:p w:rsidR="00E85D34" w:rsidRPr="00E85D34" w:rsidRDefault="00E85D34" w:rsidP="00E85D34">
            <w:pPr>
              <w:pStyle w:val="NormalWeb"/>
              <w:spacing w:before="0" w:beforeAutospacing="0" w:after="150" w:afterAutospacing="0" w:line="300" w:lineRule="atLeast"/>
              <w:jc w:val="center"/>
              <w:rPr>
                <w:rFonts w:ascii="Calibri" w:hAnsi="Calibri" w:cs="Calibri"/>
                <w:b/>
                <w:sz w:val="22"/>
                <w:szCs w:val="20"/>
              </w:rPr>
            </w:pPr>
            <w:r w:rsidRPr="00E85D34">
              <w:rPr>
                <w:rFonts w:ascii="Calibri" w:hAnsi="Calibri" w:cs="Calibri"/>
                <w:b/>
                <w:sz w:val="22"/>
                <w:szCs w:val="20"/>
              </w:rPr>
              <w:t>14,960</w:t>
            </w:r>
          </w:p>
        </w:tc>
        <w:tc>
          <w:tcPr>
            <w:tcW w:w="1019" w:type="dxa"/>
            <w:vAlign w:val="center"/>
          </w:tcPr>
          <w:p w:rsidR="00E85D34" w:rsidRPr="00E85D34" w:rsidRDefault="00E85D34" w:rsidP="00E85D34">
            <w:pPr>
              <w:pStyle w:val="NormalWeb"/>
              <w:spacing w:before="0" w:beforeAutospacing="0" w:after="150" w:afterAutospacing="0" w:line="300" w:lineRule="atLeast"/>
              <w:jc w:val="center"/>
              <w:rPr>
                <w:rFonts w:ascii="Calibri" w:hAnsi="Calibri" w:cs="Calibri"/>
                <w:b/>
                <w:sz w:val="22"/>
                <w:szCs w:val="20"/>
              </w:rPr>
            </w:pPr>
            <w:r w:rsidRPr="00E85D34">
              <w:rPr>
                <w:rFonts w:ascii="Calibri" w:hAnsi="Calibri" w:cs="Calibri"/>
                <w:b/>
                <w:sz w:val="22"/>
                <w:szCs w:val="20"/>
              </w:rPr>
              <w:t>15,733</w:t>
            </w:r>
          </w:p>
        </w:tc>
        <w:tc>
          <w:tcPr>
            <w:tcW w:w="1019" w:type="dxa"/>
            <w:vAlign w:val="center"/>
          </w:tcPr>
          <w:p w:rsidR="00E85D34" w:rsidRPr="00E85D34" w:rsidRDefault="00E85D34" w:rsidP="00E85D34">
            <w:pPr>
              <w:pStyle w:val="NormalWeb"/>
              <w:spacing w:before="0" w:beforeAutospacing="0" w:after="150" w:afterAutospacing="0" w:line="300" w:lineRule="atLeast"/>
              <w:jc w:val="center"/>
              <w:rPr>
                <w:rFonts w:ascii="Calibri" w:hAnsi="Calibri" w:cs="Calibri"/>
                <w:b/>
                <w:sz w:val="22"/>
                <w:szCs w:val="20"/>
              </w:rPr>
            </w:pPr>
            <w:r w:rsidRPr="00E85D34">
              <w:rPr>
                <w:rFonts w:ascii="Calibri" w:hAnsi="Calibri" w:cs="Calibri"/>
                <w:b/>
                <w:sz w:val="22"/>
                <w:szCs w:val="20"/>
              </w:rPr>
              <w:t>13,241</w:t>
            </w:r>
          </w:p>
        </w:tc>
      </w:tr>
      <w:tr w:rsidR="00E85D34" w:rsidRPr="00363AF3" w:rsidTr="00E85D34">
        <w:trPr>
          <w:trHeight w:val="303"/>
        </w:trPr>
        <w:tc>
          <w:tcPr>
            <w:tcW w:w="767" w:type="dxa"/>
            <w:vAlign w:val="center"/>
          </w:tcPr>
          <w:p w:rsidR="00E85D34" w:rsidRPr="00E85D34" w:rsidRDefault="00E85D34">
            <w:pPr>
              <w:pStyle w:val="NormalWeb"/>
              <w:spacing w:before="0" w:beforeAutospacing="0" w:after="150" w:afterAutospacing="0" w:line="300" w:lineRule="atLeast"/>
              <w:rPr>
                <w:rFonts w:ascii="Calibri" w:hAnsi="Calibri" w:cs="Calibri"/>
                <w:sz w:val="22"/>
                <w:szCs w:val="20"/>
              </w:rPr>
            </w:pPr>
            <w:r w:rsidRPr="00E85D34">
              <w:rPr>
                <w:rFonts w:ascii="Calibri" w:hAnsi="Calibri" w:cs="Calibri"/>
                <w:sz w:val="22"/>
                <w:szCs w:val="20"/>
              </w:rPr>
              <w:t>0902</w:t>
            </w:r>
          </w:p>
        </w:tc>
        <w:tc>
          <w:tcPr>
            <w:tcW w:w="5353" w:type="dxa"/>
            <w:vAlign w:val="center"/>
          </w:tcPr>
          <w:p w:rsidR="00E85D34" w:rsidRPr="00E85D34" w:rsidRDefault="00E85D34">
            <w:pPr>
              <w:pStyle w:val="NormalWeb"/>
              <w:spacing w:before="0" w:beforeAutospacing="0" w:after="150" w:afterAutospacing="0" w:line="300" w:lineRule="atLeast"/>
              <w:rPr>
                <w:rFonts w:ascii="Calibri" w:hAnsi="Calibri" w:cs="Calibri"/>
                <w:sz w:val="22"/>
                <w:szCs w:val="20"/>
              </w:rPr>
            </w:pPr>
            <w:r>
              <w:rPr>
                <w:rFonts w:ascii="Calibri" w:hAnsi="Calibri" w:cs="Calibri"/>
                <w:sz w:val="22"/>
                <w:szCs w:val="20"/>
              </w:rPr>
              <w:t> </w:t>
            </w:r>
            <w:r w:rsidRPr="00E85D34">
              <w:rPr>
                <w:rFonts w:ascii="Calibri" w:hAnsi="Calibri" w:cs="Calibri"/>
                <w:sz w:val="22"/>
                <w:szCs w:val="20"/>
              </w:rPr>
              <w:t>Çay</w:t>
            </w:r>
          </w:p>
        </w:tc>
        <w:tc>
          <w:tcPr>
            <w:tcW w:w="1019" w:type="dxa"/>
            <w:vAlign w:val="center"/>
          </w:tcPr>
          <w:p w:rsidR="00E85D34" w:rsidRPr="00E85D34" w:rsidRDefault="00E85D34" w:rsidP="00E85D34">
            <w:pPr>
              <w:pStyle w:val="NormalWeb"/>
              <w:spacing w:before="0" w:beforeAutospacing="0" w:after="150" w:afterAutospacing="0" w:line="300" w:lineRule="atLeast"/>
              <w:jc w:val="center"/>
              <w:rPr>
                <w:rFonts w:ascii="Calibri" w:hAnsi="Calibri" w:cs="Calibri"/>
                <w:sz w:val="22"/>
                <w:szCs w:val="20"/>
              </w:rPr>
            </w:pPr>
            <w:r w:rsidRPr="00E85D34">
              <w:rPr>
                <w:rFonts w:ascii="Calibri" w:hAnsi="Calibri" w:cs="Calibri"/>
                <w:sz w:val="22"/>
                <w:szCs w:val="20"/>
              </w:rPr>
              <w:t>5,305</w:t>
            </w:r>
          </w:p>
        </w:tc>
        <w:tc>
          <w:tcPr>
            <w:tcW w:w="1019" w:type="dxa"/>
            <w:vAlign w:val="center"/>
          </w:tcPr>
          <w:p w:rsidR="00E85D34" w:rsidRPr="00E85D34" w:rsidRDefault="00E85D34" w:rsidP="00E85D34">
            <w:pPr>
              <w:pStyle w:val="NormalWeb"/>
              <w:spacing w:before="0" w:beforeAutospacing="0" w:after="150" w:afterAutospacing="0" w:line="300" w:lineRule="atLeast"/>
              <w:jc w:val="center"/>
              <w:rPr>
                <w:rFonts w:ascii="Calibri" w:hAnsi="Calibri" w:cs="Calibri"/>
                <w:sz w:val="22"/>
                <w:szCs w:val="20"/>
              </w:rPr>
            </w:pPr>
            <w:r w:rsidRPr="00E85D34">
              <w:rPr>
                <w:rFonts w:ascii="Calibri" w:hAnsi="Calibri" w:cs="Calibri"/>
                <w:sz w:val="22"/>
                <w:szCs w:val="20"/>
              </w:rPr>
              <w:t>3,981</w:t>
            </w:r>
          </w:p>
        </w:tc>
        <w:tc>
          <w:tcPr>
            <w:tcW w:w="1019" w:type="dxa"/>
            <w:vAlign w:val="center"/>
          </w:tcPr>
          <w:p w:rsidR="00E85D34" w:rsidRPr="00E85D34" w:rsidRDefault="00E85D34" w:rsidP="00E85D34">
            <w:pPr>
              <w:pStyle w:val="NormalWeb"/>
              <w:spacing w:before="0" w:beforeAutospacing="0" w:after="150" w:afterAutospacing="0" w:line="300" w:lineRule="atLeast"/>
              <w:jc w:val="center"/>
              <w:rPr>
                <w:rFonts w:ascii="Calibri" w:hAnsi="Calibri" w:cs="Calibri"/>
                <w:sz w:val="22"/>
                <w:szCs w:val="20"/>
              </w:rPr>
            </w:pPr>
            <w:r w:rsidRPr="00E85D34">
              <w:rPr>
                <w:rFonts w:ascii="Calibri" w:hAnsi="Calibri" w:cs="Calibri"/>
                <w:sz w:val="22"/>
                <w:szCs w:val="20"/>
              </w:rPr>
              <w:t>5,227</w:t>
            </w:r>
          </w:p>
        </w:tc>
      </w:tr>
      <w:tr w:rsidR="00E85D34" w:rsidRPr="00363AF3" w:rsidTr="00E85D34">
        <w:trPr>
          <w:trHeight w:val="470"/>
        </w:trPr>
        <w:tc>
          <w:tcPr>
            <w:tcW w:w="767" w:type="dxa"/>
            <w:vAlign w:val="center"/>
          </w:tcPr>
          <w:p w:rsidR="00E85D34" w:rsidRPr="00E85D34" w:rsidRDefault="00E85D34">
            <w:pPr>
              <w:pStyle w:val="NormalWeb"/>
              <w:spacing w:before="0" w:beforeAutospacing="0" w:after="150" w:afterAutospacing="0" w:line="300" w:lineRule="atLeast"/>
              <w:rPr>
                <w:rFonts w:ascii="Calibri" w:hAnsi="Calibri" w:cs="Calibri"/>
                <w:sz w:val="22"/>
                <w:szCs w:val="20"/>
              </w:rPr>
            </w:pPr>
            <w:r w:rsidRPr="00E85D34">
              <w:rPr>
                <w:rFonts w:ascii="Calibri" w:hAnsi="Calibri" w:cs="Calibri"/>
                <w:sz w:val="22"/>
                <w:szCs w:val="20"/>
              </w:rPr>
              <w:t>1209</w:t>
            </w:r>
          </w:p>
        </w:tc>
        <w:tc>
          <w:tcPr>
            <w:tcW w:w="5353" w:type="dxa"/>
            <w:vAlign w:val="center"/>
          </w:tcPr>
          <w:p w:rsidR="00E85D34" w:rsidRPr="00E85D34" w:rsidRDefault="00E85D34">
            <w:pPr>
              <w:pStyle w:val="NormalWeb"/>
              <w:spacing w:before="0" w:beforeAutospacing="0" w:after="150" w:afterAutospacing="0" w:line="300" w:lineRule="atLeast"/>
              <w:rPr>
                <w:rFonts w:ascii="Calibri" w:hAnsi="Calibri" w:cs="Calibri"/>
                <w:sz w:val="22"/>
                <w:szCs w:val="20"/>
              </w:rPr>
            </w:pPr>
            <w:r w:rsidRPr="00E85D34">
              <w:rPr>
                <w:rFonts w:ascii="Calibri" w:hAnsi="Calibri" w:cs="Calibri"/>
                <w:sz w:val="22"/>
                <w:szCs w:val="20"/>
              </w:rPr>
              <w:t>Ekim amacıyla kullanılan tohum, meyve ve sporlar</w:t>
            </w:r>
          </w:p>
        </w:tc>
        <w:tc>
          <w:tcPr>
            <w:tcW w:w="1019" w:type="dxa"/>
            <w:vAlign w:val="center"/>
          </w:tcPr>
          <w:p w:rsidR="00E85D34" w:rsidRPr="00E85D34" w:rsidRDefault="00E85D34" w:rsidP="00E85D34">
            <w:pPr>
              <w:pStyle w:val="NormalWeb"/>
              <w:spacing w:before="0" w:beforeAutospacing="0" w:after="150" w:afterAutospacing="0" w:line="300" w:lineRule="atLeast"/>
              <w:jc w:val="center"/>
              <w:rPr>
                <w:rFonts w:ascii="Calibri" w:hAnsi="Calibri" w:cs="Calibri"/>
                <w:sz w:val="22"/>
                <w:szCs w:val="20"/>
              </w:rPr>
            </w:pPr>
            <w:r w:rsidRPr="00E85D34">
              <w:rPr>
                <w:rFonts w:ascii="Calibri" w:hAnsi="Calibri" w:cs="Calibri"/>
                <w:sz w:val="22"/>
                <w:szCs w:val="20"/>
              </w:rPr>
              <w:t>4,268</w:t>
            </w:r>
          </w:p>
        </w:tc>
        <w:tc>
          <w:tcPr>
            <w:tcW w:w="1019" w:type="dxa"/>
            <w:vAlign w:val="center"/>
          </w:tcPr>
          <w:p w:rsidR="00E85D34" w:rsidRPr="00E85D34" w:rsidRDefault="00E85D34" w:rsidP="00E85D34">
            <w:pPr>
              <w:pStyle w:val="NormalWeb"/>
              <w:spacing w:before="0" w:beforeAutospacing="0" w:after="150" w:afterAutospacing="0" w:line="300" w:lineRule="atLeast"/>
              <w:jc w:val="center"/>
              <w:rPr>
                <w:rFonts w:ascii="Calibri" w:hAnsi="Calibri" w:cs="Calibri"/>
                <w:sz w:val="22"/>
                <w:szCs w:val="20"/>
              </w:rPr>
            </w:pPr>
            <w:r w:rsidRPr="00E85D34">
              <w:rPr>
                <w:rFonts w:ascii="Calibri" w:hAnsi="Calibri" w:cs="Calibri"/>
                <w:sz w:val="22"/>
                <w:szCs w:val="20"/>
              </w:rPr>
              <w:t>5,308</w:t>
            </w:r>
          </w:p>
        </w:tc>
        <w:tc>
          <w:tcPr>
            <w:tcW w:w="1019" w:type="dxa"/>
            <w:vAlign w:val="center"/>
          </w:tcPr>
          <w:p w:rsidR="00E85D34" w:rsidRPr="00E85D34" w:rsidRDefault="00E85D34" w:rsidP="00E85D34">
            <w:pPr>
              <w:pStyle w:val="NormalWeb"/>
              <w:spacing w:before="0" w:beforeAutospacing="0" w:after="150" w:afterAutospacing="0" w:line="300" w:lineRule="atLeast"/>
              <w:jc w:val="center"/>
              <w:rPr>
                <w:rFonts w:ascii="Calibri" w:hAnsi="Calibri" w:cs="Calibri"/>
                <w:sz w:val="22"/>
                <w:szCs w:val="20"/>
              </w:rPr>
            </w:pPr>
            <w:r w:rsidRPr="00E85D34">
              <w:rPr>
                <w:rFonts w:ascii="Calibri" w:hAnsi="Calibri" w:cs="Calibri"/>
                <w:sz w:val="22"/>
                <w:szCs w:val="20"/>
              </w:rPr>
              <w:t>2,999</w:t>
            </w:r>
          </w:p>
        </w:tc>
      </w:tr>
      <w:tr w:rsidR="00E85D34" w:rsidRPr="00363AF3" w:rsidTr="00E85D34">
        <w:trPr>
          <w:trHeight w:val="470"/>
        </w:trPr>
        <w:tc>
          <w:tcPr>
            <w:tcW w:w="767" w:type="dxa"/>
            <w:vAlign w:val="center"/>
          </w:tcPr>
          <w:p w:rsidR="00E85D34" w:rsidRPr="00E85D34" w:rsidRDefault="00E85D34">
            <w:pPr>
              <w:pStyle w:val="NormalWeb"/>
              <w:spacing w:before="0" w:beforeAutospacing="0" w:after="150" w:afterAutospacing="0" w:line="300" w:lineRule="atLeast"/>
              <w:rPr>
                <w:rFonts w:ascii="Calibri" w:hAnsi="Calibri" w:cs="Calibri"/>
                <w:sz w:val="22"/>
                <w:szCs w:val="20"/>
              </w:rPr>
            </w:pPr>
            <w:r w:rsidRPr="00E85D34">
              <w:rPr>
                <w:rFonts w:ascii="Calibri" w:hAnsi="Calibri" w:cs="Calibri"/>
                <w:sz w:val="22"/>
                <w:szCs w:val="20"/>
              </w:rPr>
              <w:t>0603</w:t>
            </w:r>
          </w:p>
        </w:tc>
        <w:tc>
          <w:tcPr>
            <w:tcW w:w="5353" w:type="dxa"/>
            <w:vAlign w:val="center"/>
          </w:tcPr>
          <w:p w:rsidR="00E85D34" w:rsidRPr="00E85D34" w:rsidRDefault="00E85D34">
            <w:pPr>
              <w:pStyle w:val="NormalWeb"/>
              <w:spacing w:before="0" w:beforeAutospacing="0" w:after="150" w:afterAutospacing="0" w:line="300" w:lineRule="atLeast"/>
              <w:rPr>
                <w:rFonts w:ascii="Calibri" w:hAnsi="Calibri" w:cs="Calibri"/>
                <w:sz w:val="22"/>
                <w:szCs w:val="20"/>
              </w:rPr>
            </w:pPr>
            <w:r w:rsidRPr="00E85D34">
              <w:rPr>
                <w:rFonts w:ascii="Calibri" w:hAnsi="Calibri" w:cs="Calibri"/>
                <w:sz w:val="22"/>
                <w:szCs w:val="20"/>
              </w:rPr>
              <w:t>Buket yapmaya elverişli veya süs amacına uygun kesme çiçek ve çiçek tomurcukları</w:t>
            </w:r>
          </w:p>
        </w:tc>
        <w:tc>
          <w:tcPr>
            <w:tcW w:w="1019" w:type="dxa"/>
            <w:vAlign w:val="center"/>
          </w:tcPr>
          <w:p w:rsidR="00E85D34" w:rsidRPr="00E85D34" w:rsidRDefault="00E85D34" w:rsidP="00E85D34">
            <w:pPr>
              <w:pStyle w:val="NormalWeb"/>
              <w:spacing w:before="0" w:beforeAutospacing="0" w:after="150" w:afterAutospacing="0" w:line="300" w:lineRule="atLeast"/>
              <w:jc w:val="center"/>
              <w:rPr>
                <w:rFonts w:ascii="Calibri" w:hAnsi="Calibri" w:cs="Calibri"/>
                <w:sz w:val="22"/>
                <w:szCs w:val="20"/>
              </w:rPr>
            </w:pPr>
            <w:r w:rsidRPr="00E85D34">
              <w:rPr>
                <w:rFonts w:ascii="Calibri" w:hAnsi="Calibri" w:cs="Calibri"/>
                <w:sz w:val="22"/>
                <w:szCs w:val="20"/>
              </w:rPr>
              <w:t>390</w:t>
            </w:r>
          </w:p>
        </w:tc>
        <w:tc>
          <w:tcPr>
            <w:tcW w:w="1019" w:type="dxa"/>
            <w:vAlign w:val="center"/>
          </w:tcPr>
          <w:p w:rsidR="00E85D34" w:rsidRPr="00E85D34" w:rsidRDefault="00E85D34" w:rsidP="00E85D34">
            <w:pPr>
              <w:pStyle w:val="NormalWeb"/>
              <w:spacing w:before="0" w:beforeAutospacing="0" w:after="150" w:afterAutospacing="0" w:line="300" w:lineRule="atLeast"/>
              <w:jc w:val="center"/>
              <w:rPr>
                <w:rFonts w:ascii="Calibri" w:hAnsi="Calibri" w:cs="Calibri"/>
                <w:sz w:val="22"/>
                <w:szCs w:val="20"/>
              </w:rPr>
            </w:pPr>
            <w:r w:rsidRPr="00E85D34">
              <w:rPr>
                <w:rFonts w:ascii="Calibri" w:hAnsi="Calibri" w:cs="Calibri"/>
                <w:sz w:val="22"/>
                <w:szCs w:val="20"/>
              </w:rPr>
              <w:t>1,057</w:t>
            </w:r>
          </w:p>
        </w:tc>
        <w:tc>
          <w:tcPr>
            <w:tcW w:w="1019" w:type="dxa"/>
            <w:vAlign w:val="center"/>
          </w:tcPr>
          <w:p w:rsidR="00E85D34" w:rsidRPr="00E85D34" w:rsidRDefault="00E85D34" w:rsidP="00E85D34">
            <w:pPr>
              <w:pStyle w:val="NormalWeb"/>
              <w:spacing w:before="0" w:beforeAutospacing="0" w:after="150" w:afterAutospacing="0" w:line="300" w:lineRule="atLeast"/>
              <w:jc w:val="center"/>
              <w:rPr>
                <w:rFonts w:ascii="Calibri" w:hAnsi="Calibri" w:cs="Calibri"/>
                <w:sz w:val="22"/>
                <w:szCs w:val="20"/>
              </w:rPr>
            </w:pPr>
            <w:r w:rsidRPr="00E85D34">
              <w:rPr>
                <w:rFonts w:ascii="Calibri" w:hAnsi="Calibri" w:cs="Calibri"/>
                <w:sz w:val="22"/>
                <w:szCs w:val="20"/>
              </w:rPr>
              <w:t>1,264</w:t>
            </w:r>
          </w:p>
        </w:tc>
      </w:tr>
      <w:tr w:rsidR="00E85D34" w:rsidRPr="00363AF3" w:rsidTr="00E85D34">
        <w:trPr>
          <w:trHeight w:val="470"/>
        </w:trPr>
        <w:tc>
          <w:tcPr>
            <w:tcW w:w="767" w:type="dxa"/>
            <w:vAlign w:val="center"/>
          </w:tcPr>
          <w:p w:rsidR="00E85D34" w:rsidRPr="00E85D34" w:rsidRDefault="00E85D34">
            <w:pPr>
              <w:pStyle w:val="NormalWeb"/>
              <w:spacing w:before="0" w:beforeAutospacing="0" w:after="150" w:afterAutospacing="0" w:line="300" w:lineRule="atLeast"/>
              <w:rPr>
                <w:rFonts w:ascii="Calibri" w:hAnsi="Calibri" w:cs="Calibri"/>
                <w:sz w:val="22"/>
                <w:szCs w:val="20"/>
              </w:rPr>
            </w:pPr>
            <w:r w:rsidRPr="00E85D34">
              <w:rPr>
                <w:rFonts w:ascii="Calibri" w:hAnsi="Calibri" w:cs="Calibri"/>
                <w:sz w:val="22"/>
                <w:szCs w:val="20"/>
              </w:rPr>
              <w:t>2401</w:t>
            </w:r>
          </w:p>
        </w:tc>
        <w:tc>
          <w:tcPr>
            <w:tcW w:w="5353" w:type="dxa"/>
            <w:vAlign w:val="center"/>
          </w:tcPr>
          <w:p w:rsidR="00E85D34" w:rsidRPr="00E85D34" w:rsidRDefault="00E85D34">
            <w:pPr>
              <w:pStyle w:val="NormalWeb"/>
              <w:spacing w:before="0" w:beforeAutospacing="0" w:after="150" w:afterAutospacing="0" w:line="300" w:lineRule="atLeast"/>
              <w:rPr>
                <w:rFonts w:ascii="Calibri" w:hAnsi="Calibri" w:cs="Calibri"/>
                <w:sz w:val="22"/>
                <w:szCs w:val="20"/>
              </w:rPr>
            </w:pPr>
            <w:r w:rsidRPr="00E85D34">
              <w:rPr>
                <w:rFonts w:ascii="Calibri" w:hAnsi="Calibri" w:cs="Calibri"/>
                <w:sz w:val="22"/>
                <w:szCs w:val="20"/>
              </w:rPr>
              <w:t>Yaprak tütün ve tütün döküntüleri</w:t>
            </w:r>
          </w:p>
        </w:tc>
        <w:tc>
          <w:tcPr>
            <w:tcW w:w="1019" w:type="dxa"/>
            <w:vAlign w:val="center"/>
          </w:tcPr>
          <w:p w:rsidR="00E85D34" w:rsidRPr="00E85D34" w:rsidRDefault="00E85D34" w:rsidP="00E85D34">
            <w:pPr>
              <w:pStyle w:val="NormalWeb"/>
              <w:spacing w:before="0" w:beforeAutospacing="0" w:after="150" w:afterAutospacing="0" w:line="300" w:lineRule="atLeast"/>
              <w:jc w:val="center"/>
              <w:rPr>
                <w:rFonts w:ascii="Calibri" w:hAnsi="Calibri" w:cs="Calibri"/>
                <w:sz w:val="22"/>
                <w:szCs w:val="20"/>
              </w:rPr>
            </w:pPr>
            <w:r w:rsidRPr="00E85D34">
              <w:rPr>
                <w:rFonts w:ascii="Calibri" w:hAnsi="Calibri" w:cs="Calibri"/>
                <w:sz w:val="22"/>
                <w:szCs w:val="20"/>
              </w:rPr>
              <w:t>98</w:t>
            </w:r>
          </w:p>
        </w:tc>
        <w:tc>
          <w:tcPr>
            <w:tcW w:w="1019" w:type="dxa"/>
            <w:vAlign w:val="center"/>
          </w:tcPr>
          <w:p w:rsidR="00E85D34" w:rsidRPr="00E85D34" w:rsidRDefault="00E85D34" w:rsidP="00E85D34">
            <w:pPr>
              <w:pStyle w:val="NormalWeb"/>
              <w:spacing w:before="0" w:beforeAutospacing="0" w:after="150" w:afterAutospacing="0" w:line="300" w:lineRule="atLeast"/>
              <w:jc w:val="center"/>
              <w:rPr>
                <w:rFonts w:ascii="Calibri" w:hAnsi="Calibri" w:cs="Calibri"/>
                <w:sz w:val="22"/>
                <w:szCs w:val="20"/>
              </w:rPr>
            </w:pPr>
            <w:r w:rsidRPr="00E85D34">
              <w:rPr>
                <w:rFonts w:ascii="Calibri" w:hAnsi="Calibri" w:cs="Calibri"/>
                <w:sz w:val="22"/>
                <w:szCs w:val="20"/>
              </w:rPr>
              <w:t>454</w:t>
            </w:r>
          </w:p>
        </w:tc>
        <w:tc>
          <w:tcPr>
            <w:tcW w:w="1019" w:type="dxa"/>
            <w:vAlign w:val="center"/>
          </w:tcPr>
          <w:p w:rsidR="00E85D34" w:rsidRPr="00E85D34" w:rsidRDefault="00E85D34" w:rsidP="00E85D34">
            <w:pPr>
              <w:pStyle w:val="NormalWeb"/>
              <w:spacing w:before="0" w:beforeAutospacing="0" w:after="150" w:afterAutospacing="0" w:line="300" w:lineRule="atLeast"/>
              <w:jc w:val="center"/>
              <w:rPr>
                <w:rFonts w:ascii="Calibri" w:hAnsi="Calibri" w:cs="Calibri"/>
                <w:sz w:val="22"/>
                <w:szCs w:val="20"/>
              </w:rPr>
            </w:pPr>
            <w:r w:rsidRPr="00E85D34">
              <w:rPr>
                <w:rFonts w:ascii="Calibri" w:hAnsi="Calibri" w:cs="Calibri"/>
                <w:sz w:val="22"/>
                <w:szCs w:val="20"/>
              </w:rPr>
              <w:t>1,016</w:t>
            </w:r>
          </w:p>
        </w:tc>
      </w:tr>
      <w:tr w:rsidR="00E85D34" w:rsidRPr="00363AF3" w:rsidTr="00E85D34">
        <w:trPr>
          <w:trHeight w:val="470"/>
        </w:trPr>
        <w:tc>
          <w:tcPr>
            <w:tcW w:w="767" w:type="dxa"/>
            <w:vAlign w:val="center"/>
          </w:tcPr>
          <w:p w:rsidR="00E85D34" w:rsidRPr="00E85D34" w:rsidRDefault="00E85D34">
            <w:pPr>
              <w:pStyle w:val="NormalWeb"/>
              <w:spacing w:before="0" w:beforeAutospacing="0" w:after="150" w:afterAutospacing="0" w:line="300" w:lineRule="atLeast"/>
              <w:rPr>
                <w:rFonts w:ascii="Calibri" w:hAnsi="Calibri" w:cs="Calibri"/>
                <w:sz w:val="22"/>
                <w:szCs w:val="20"/>
              </w:rPr>
            </w:pPr>
            <w:r w:rsidRPr="00E85D34">
              <w:rPr>
                <w:rFonts w:ascii="Calibri" w:hAnsi="Calibri" w:cs="Calibri"/>
                <w:sz w:val="22"/>
                <w:szCs w:val="20"/>
              </w:rPr>
              <w:t>4104</w:t>
            </w:r>
          </w:p>
        </w:tc>
        <w:tc>
          <w:tcPr>
            <w:tcW w:w="5353" w:type="dxa"/>
            <w:vAlign w:val="center"/>
          </w:tcPr>
          <w:p w:rsidR="00E85D34" w:rsidRPr="00E85D34" w:rsidRDefault="00E85D34">
            <w:pPr>
              <w:pStyle w:val="NormalWeb"/>
              <w:spacing w:before="0" w:beforeAutospacing="0" w:after="150" w:afterAutospacing="0" w:line="300" w:lineRule="atLeast"/>
              <w:rPr>
                <w:rFonts w:ascii="Calibri" w:hAnsi="Calibri" w:cs="Calibri"/>
                <w:sz w:val="22"/>
                <w:szCs w:val="20"/>
              </w:rPr>
            </w:pPr>
            <w:r w:rsidRPr="00E85D34">
              <w:rPr>
                <w:rFonts w:ascii="Calibri" w:hAnsi="Calibri" w:cs="Calibri"/>
                <w:sz w:val="22"/>
                <w:szCs w:val="20"/>
              </w:rPr>
              <w:t>Sığır (buffalo dahil) ve at cinsi hayvanların dabaklanmış veya crust (arakurutmalı) post ve derileri</w:t>
            </w:r>
          </w:p>
        </w:tc>
        <w:tc>
          <w:tcPr>
            <w:tcW w:w="1019" w:type="dxa"/>
            <w:vAlign w:val="center"/>
          </w:tcPr>
          <w:p w:rsidR="00E85D34" w:rsidRPr="00E85D34" w:rsidRDefault="00E85D34" w:rsidP="00E85D34">
            <w:pPr>
              <w:pStyle w:val="NormalWeb"/>
              <w:spacing w:before="0" w:beforeAutospacing="0" w:after="150" w:afterAutospacing="0" w:line="300" w:lineRule="atLeast"/>
              <w:jc w:val="center"/>
              <w:rPr>
                <w:rFonts w:ascii="Calibri" w:hAnsi="Calibri" w:cs="Calibri"/>
                <w:sz w:val="22"/>
                <w:szCs w:val="20"/>
              </w:rPr>
            </w:pPr>
            <w:r w:rsidRPr="00E85D34">
              <w:rPr>
                <w:rFonts w:ascii="Calibri" w:hAnsi="Calibri" w:cs="Calibri"/>
                <w:sz w:val="22"/>
                <w:szCs w:val="20"/>
              </w:rPr>
              <w:t>2,149</w:t>
            </w:r>
          </w:p>
        </w:tc>
        <w:tc>
          <w:tcPr>
            <w:tcW w:w="1019" w:type="dxa"/>
            <w:vAlign w:val="center"/>
          </w:tcPr>
          <w:p w:rsidR="00E85D34" w:rsidRPr="00E85D34" w:rsidRDefault="00E85D34" w:rsidP="00E85D34">
            <w:pPr>
              <w:pStyle w:val="NormalWeb"/>
              <w:spacing w:before="0" w:beforeAutospacing="0" w:after="150" w:afterAutospacing="0" w:line="300" w:lineRule="atLeast"/>
              <w:jc w:val="center"/>
              <w:rPr>
                <w:rFonts w:ascii="Calibri" w:hAnsi="Calibri" w:cs="Calibri"/>
                <w:sz w:val="22"/>
                <w:szCs w:val="20"/>
              </w:rPr>
            </w:pPr>
            <w:r w:rsidRPr="00E85D34">
              <w:rPr>
                <w:rFonts w:ascii="Calibri" w:hAnsi="Calibri" w:cs="Calibri"/>
                <w:sz w:val="22"/>
                <w:szCs w:val="20"/>
              </w:rPr>
              <w:t>1,819</w:t>
            </w:r>
          </w:p>
        </w:tc>
        <w:tc>
          <w:tcPr>
            <w:tcW w:w="1019" w:type="dxa"/>
            <w:vAlign w:val="center"/>
          </w:tcPr>
          <w:p w:rsidR="00E85D34" w:rsidRPr="00E85D34" w:rsidRDefault="00E85D34" w:rsidP="00E85D34">
            <w:pPr>
              <w:pStyle w:val="NormalWeb"/>
              <w:spacing w:before="0" w:beforeAutospacing="0" w:after="150" w:afterAutospacing="0" w:line="300" w:lineRule="atLeast"/>
              <w:jc w:val="center"/>
              <w:rPr>
                <w:rFonts w:ascii="Calibri" w:hAnsi="Calibri" w:cs="Calibri"/>
                <w:sz w:val="22"/>
                <w:szCs w:val="20"/>
              </w:rPr>
            </w:pPr>
            <w:r w:rsidRPr="00E85D34">
              <w:rPr>
                <w:rFonts w:ascii="Calibri" w:hAnsi="Calibri" w:cs="Calibri"/>
                <w:sz w:val="22"/>
                <w:szCs w:val="20"/>
              </w:rPr>
              <w:t>915</w:t>
            </w:r>
          </w:p>
        </w:tc>
      </w:tr>
    </w:tbl>
    <w:p w:rsidR="004C12DB" w:rsidRPr="00363AF3" w:rsidRDefault="004C12DB" w:rsidP="004C12DB">
      <w:pPr>
        <w:pStyle w:val="Quote"/>
      </w:pPr>
      <w:r w:rsidRPr="00363AF3">
        <w:t>Kaynak: Ekonomi Bakanlığı Bilgi Sistemi</w:t>
      </w:r>
    </w:p>
    <w:p w:rsidR="004C12DB" w:rsidRPr="00B45657" w:rsidRDefault="004C12DB" w:rsidP="004C12DB">
      <w:pPr>
        <w:jc w:val="both"/>
      </w:pPr>
      <w:r w:rsidRPr="00B45657">
        <w:t>Kenya'nın genel olarak ihraç ürünleri çeşidi sınırlı olup, Türkiye'nin Kenya'dan ithalatında başlıca ürünler tohum, çay, sığır derisi ve kesme çiçektir.</w:t>
      </w:r>
    </w:p>
    <w:p w:rsidR="00A17E9E" w:rsidRPr="00A17E9E" w:rsidRDefault="00A17E9E" w:rsidP="00A17E9E"/>
    <w:p w:rsidR="00A17E9E" w:rsidRPr="00B45657" w:rsidRDefault="00A17E9E" w:rsidP="00A17E9E">
      <w:pPr>
        <w:pStyle w:val="NoSpacing"/>
        <w:rPr>
          <w:b/>
          <w:lang w:val="tr-TR"/>
        </w:rPr>
      </w:pPr>
    </w:p>
    <w:p w:rsidR="002464DA" w:rsidRDefault="002464DA">
      <w:pPr>
        <w:rPr>
          <w:rFonts w:asciiTheme="majorHAnsi" w:eastAsiaTheme="majorEastAsia" w:hAnsiTheme="majorHAnsi" w:cstheme="majorBidi"/>
          <w:b/>
          <w:bCs/>
          <w:color w:val="365F91" w:themeColor="accent1" w:themeShade="BF"/>
          <w:sz w:val="28"/>
          <w:szCs w:val="28"/>
        </w:rPr>
      </w:pPr>
      <w:r>
        <w:br w:type="page"/>
      </w:r>
    </w:p>
    <w:p w:rsidR="0001467B" w:rsidRDefault="0001467B" w:rsidP="004E7C09">
      <w:pPr>
        <w:pStyle w:val="Heading1"/>
        <w:spacing w:line="240" w:lineRule="auto"/>
        <w:jc w:val="center"/>
      </w:pPr>
      <w:bookmarkStart w:id="46" w:name="_Toc491348199"/>
      <w:r w:rsidRPr="00D66755">
        <w:lastRenderedPageBreak/>
        <w:t>Faydalı Bilgiler</w:t>
      </w:r>
      <w:bookmarkEnd w:id="46"/>
    </w:p>
    <w:p w:rsidR="004E7C09" w:rsidRPr="004E7C09" w:rsidRDefault="004E7C09" w:rsidP="004E7C09"/>
    <w:p w:rsidR="00012208" w:rsidRPr="00C2700F" w:rsidRDefault="00012208" w:rsidP="004E7C09">
      <w:pPr>
        <w:spacing w:after="0" w:line="240" w:lineRule="auto"/>
        <w:jc w:val="center"/>
        <w:rPr>
          <w:rFonts w:eastAsia="Times New Roman" w:cs="Times New Roman"/>
          <w:b/>
          <w:lang w:eastAsia="tr-TR"/>
        </w:rPr>
      </w:pPr>
      <w:r w:rsidRPr="00C2700F">
        <w:rPr>
          <w:rFonts w:eastAsia="Times New Roman" w:cs="Times New Roman"/>
          <w:b/>
          <w:lang w:eastAsia="tr-TR"/>
        </w:rPr>
        <w:t>Türkiye-</w:t>
      </w:r>
      <w:r w:rsidR="003415F1">
        <w:rPr>
          <w:rFonts w:eastAsia="Times New Roman" w:cs="Times New Roman"/>
          <w:b/>
          <w:lang w:eastAsia="tr-TR"/>
        </w:rPr>
        <w:t>Kenya</w:t>
      </w:r>
      <w:r w:rsidRPr="00C2700F">
        <w:rPr>
          <w:rFonts w:eastAsia="Times New Roman" w:cs="Times New Roman"/>
          <w:b/>
          <w:lang w:eastAsia="tr-TR"/>
        </w:rPr>
        <w:t xml:space="preserve"> İş Konseyi</w:t>
      </w:r>
    </w:p>
    <w:p w:rsidR="00012208" w:rsidRPr="00C2700F" w:rsidRDefault="00012208" w:rsidP="004E7C09">
      <w:pPr>
        <w:spacing w:after="0" w:line="240" w:lineRule="auto"/>
        <w:jc w:val="center"/>
        <w:rPr>
          <w:rFonts w:eastAsia="Times New Roman" w:cs="Times New Roman"/>
          <w:lang w:eastAsia="tr-TR"/>
        </w:rPr>
      </w:pPr>
      <w:r w:rsidRPr="00C2700F">
        <w:rPr>
          <w:rFonts w:eastAsia="Times New Roman" w:cs="Times New Roman"/>
          <w:b/>
          <w:lang w:eastAsia="tr-TR"/>
        </w:rPr>
        <w:t>Kuruluş Yılı</w:t>
      </w:r>
      <w:r w:rsidRPr="00C2700F">
        <w:rPr>
          <w:rFonts w:eastAsia="Times New Roman" w:cs="Times New Roman"/>
          <w:lang w:eastAsia="tr-TR"/>
        </w:rPr>
        <w:t>:</w:t>
      </w:r>
      <w:r w:rsidR="00070759">
        <w:rPr>
          <w:rFonts w:eastAsia="Times New Roman" w:cs="Times New Roman"/>
          <w:lang w:eastAsia="tr-TR"/>
        </w:rPr>
        <w:t xml:space="preserve"> </w:t>
      </w:r>
      <w:r w:rsidR="0078611F" w:rsidRPr="00363AF3">
        <w:rPr>
          <w:rFonts w:eastAsia="Times New Roman"/>
          <w:lang w:eastAsia="tr-TR"/>
        </w:rPr>
        <w:t>2010</w:t>
      </w:r>
    </w:p>
    <w:p w:rsidR="00012208" w:rsidRPr="00C2700F" w:rsidRDefault="00012208" w:rsidP="004E7C09">
      <w:pPr>
        <w:spacing w:after="0" w:line="240" w:lineRule="auto"/>
        <w:jc w:val="center"/>
        <w:rPr>
          <w:rFonts w:eastAsia="Times New Roman" w:cs="Times New Roman"/>
          <w:lang w:eastAsia="tr-TR"/>
        </w:rPr>
      </w:pPr>
      <w:r w:rsidRPr="00C2700F">
        <w:rPr>
          <w:rFonts w:eastAsia="Times New Roman" w:cs="Times New Roman"/>
          <w:b/>
          <w:lang w:eastAsia="tr-TR"/>
        </w:rPr>
        <w:t>Türk Tarafı Başkanı</w:t>
      </w:r>
      <w:r w:rsidRPr="00C2700F">
        <w:rPr>
          <w:rFonts w:eastAsia="Times New Roman" w:cs="Times New Roman"/>
          <w:lang w:eastAsia="tr-TR"/>
        </w:rPr>
        <w:t>:</w:t>
      </w:r>
      <w:r w:rsidR="00070759">
        <w:rPr>
          <w:rFonts w:eastAsia="Times New Roman" w:cs="Times New Roman"/>
          <w:lang w:eastAsia="tr-TR"/>
        </w:rPr>
        <w:t xml:space="preserve"> </w:t>
      </w:r>
      <w:r w:rsidR="0078611F" w:rsidRPr="00363AF3">
        <w:rPr>
          <w:rFonts w:eastAsia="Times New Roman"/>
          <w:lang w:eastAsia="tr-TR"/>
        </w:rPr>
        <w:t>M.Kemal Koloğlu</w:t>
      </w:r>
    </w:p>
    <w:p w:rsidR="00012208" w:rsidRPr="00C2700F" w:rsidRDefault="00012208" w:rsidP="004E7C09">
      <w:pPr>
        <w:spacing w:after="0" w:line="240" w:lineRule="auto"/>
        <w:jc w:val="center"/>
        <w:rPr>
          <w:rFonts w:eastAsia="Times New Roman" w:cs="Times New Roman"/>
          <w:lang w:eastAsia="tr-TR"/>
        </w:rPr>
      </w:pPr>
      <w:r w:rsidRPr="00C2700F">
        <w:rPr>
          <w:rFonts w:eastAsia="Times New Roman" w:cs="Times New Roman"/>
          <w:b/>
          <w:lang w:eastAsia="tr-TR"/>
        </w:rPr>
        <w:t>Firma / Unvan</w:t>
      </w:r>
      <w:r w:rsidRPr="00C2700F">
        <w:rPr>
          <w:rFonts w:eastAsia="Times New Roman" w:cs="Times New Roman"/>
          <w:lang w:eastAsia="tr-TR"/>
        </w:rPr>
        <w:t>:</w:t>
      </w:r>
      <w:r w:rsidR="00070759">
        <w:rPr>
          <w:rFonts w:eastAsia="Times New Roman" w:cs="Times New Roman"/>
          <w:lang w:eastAsia="tr-TR"/>
        </w:rPr>
        <w:t xml:space="preserve"> </w:t>
      </w:r>
      <w:r w:rsidR="0078611F" w:rsidRPr="00363AF3">
        <w:rPr>
          <w:rFonts w:eastAsia="Times New Roman"/>
          <w:lang w:eastAsia="tr-TR"/>
        </w:rPr>
        <w:t>Kolin İnşaat</w:t>
      </w:r>
    </w:p>
    <w:p w:rsidR="00012208" w:rsidRPr="00C2700F" w:rsidRDefault="00012208" w:rsidP="004E7C09">
      <w:pPr>
        <w:spacing w:after="0" w:line="240" w:lineRule="auto"/>
        <w:jc w:val="center"/>
        <w:rPr>
          <w:rFonts w:eastAsia="Times New Roman" w:cs="Times New Roman"/>
          <w:lang w:eastAsia="tr-TR"/>
        </w:rPr>
      </w:pPr>
      <w:r w:rsidRPr="00C2700F">
        <w:rPr>
          <w:rFonts w:eastAsia="Times New Roman" w:cs="Times New Roman"/>
          <w:b/>
          <w:lang w:eastAsia="tr-TR"/>
        </w:rPr>
        <w:t>Karşı Kanat</w:t>
      </w:r>
      <w:r w:rsidRPr="00C2700F">
        <w:rPr>
          <w:rFonts w:eastAsia="Times New Roman" w:cs="Times New Roman"/>
          <w:lang w:eastAsia="tr-TR"/>
        </w:rPr>
        <w:t>:</w:t>
      </w:r>
      <w:r w:rsidR="00070759">
        <w:rPr>
          <w:rFonts w:eastAsia="Times New Roman" w:cs="Times New Roman"/>
          <w:lang w:eastAsia="tr-TR"/>
        </w:rPr>
        <w:t xml:space="preserve"> </w:t>
      </w:r>
      <w:r w:rsidR="00744535" w:rsidRPr="00744535">
        <w:rPr>
          <w:rFonts w:eastAsia="Times New Roman"/>
          <w:lang w:eastAsia="tr-TR"/>
        </w:rPr>
        <w:t>Kenya Ulusal Ticaret ve Sanayi Odası</w:t>
      </w:r>
    </w:p>
    <w:p w:rsidR="00390E33" w:rsidRPr="00744535" w:rsidRDefault="00012208" w:rsidP="004E7C09">
      <w:pPr>
        <w:spacing w:after="0" w:line="240" w:lineRule="auto"/>
        <w:jc w:val="center"/>
        <w:rPr>
          <w:rFonts w:eastAsia="Times New Roman"/>
          <w:lang w:eastAsia="tr-TR"/>
        </w:rPr>
      </w:pPr>
      <w:r w:rsidRPr="00C2700F">
        <w:rPr>
          <w:rFonts w:eastAsia="Times New Roman" w:cs="Times New Roman"/>
          <w:b/>
          <w:lang w:eastAsia="tr-TR"/>
        </w:rPr>
        <w:t>Karşı Kanat Başkanı</w:t>
      </w:r>
      <w:r w:rsidRPr="00C2700F">
        <w:rPr>
          <w:rFonts w:eastAsia="Times New Roman" w:cs="Times New Roman"/>
          <w:lang w:eastAsia="tr-TR"/>
        </w:rPr>
        <w:t>:</w:t>
      </w:r>
      <w:r w:rsidR="00070759">
        <w:rPr>
          <w:rFonts w:eastAsia="Times New Roman" w:cs="Times New Roman"/>
          <w:lang w:eastAsia="tr-TR"/>
        </w:rPr>
        <w:t xml:space="preserve"> </w:t>
      </w:r>
      <w:r w:rsidR="00744535" w:rsidRPr="00744535">
        <w:rPr>
          <w:rFonts w:eastAsia="Times New Roman"/>
          <w:lang w:eastAsia="tr-TR"/>
        </w:rPr>
        <w:t>Kiprono Kittony</w:t>
      </w:r>
    </w:p>
    <w:p w:rsidR="00070759" w:rsidRDefault="00012208" w:rsidP="00070759">
      <w:pPr>
        <w:spacing w:after="0" w:line="240" w:lineRule="auto"/>
        <w:jc w:val="center"/>
        <w:rPr>
          <w:rStyle w:val="Hyperlink"/>
          <w:rFonts w:ascii="Times New Roman" w:eastAsia="Times New Roman" w:hAnsi="Times New Roman" w:cs="Times New Roman"/>
          <w:lang w:eastAsia="tr-TR"/>
        </w:rPr>
      </w:pPr>
      <w:r w:rsidRPr="00C2700F">
        <w:rPr>
          <w:rFonts w:eastAsia="Times New Roman" w:cs="Times New Roman"/>
          <w:b/>
          <w:lang w:eastAsia="tr-TR"/>
        </w:rPr>
        <w:t>Web Adresi</w:t>
      </w:r>
      <w:r w:rsidRPr="00C2700F">
        <w:rPr>
          <w:rFonts w:eastAsia="Times New Roman" w:cs="Times New Roman"/>
          <w:lang w:eastAsia="tr-TR"/>
        </w:rPr>
        <w:t>:</w:t>
      </w:r>
      <w:r w:rsidR="00070759">
        <w:rPr>
          <w:rFonts w:eastAsia="Times New Roman" w:cs="Times New Roman"/>
          <w:lang w:eastAsia="tr-TR"/>
        </w:rPr>
        <w:t xml:space="preserve"> </w:t>
      </w:r>
      <w:hyperlink r:id="rId17" w:history="1">
        <w:r w:rsidR="00744535" w:rsidRPr="00744535">
          <w:rPr>
            <w:rStyle w:val="Hyperlink"/>
            <w:rFonts w:ascii="Times New Roman" w:eastAsia="Times New Roman" w:hAnsi="Times New Roman" w:cs="Times New Roman"/>
            <w:lang w:eastAsia="tr-TR"/>
          </w:rPr>
          <w:t>www.kenyachamber.or.ke</w:t>
        </w:r>
      </w:hyperlink>
    </w:p>
    <w:p w:rsidR="00CF7F44" w:rsidRDefault="00CF7F44" w:rsidP="00070759">
      <w:pPr>
        <w:spacing w:after="0" w:line="240" w:lineRule="auto"/>
        <w:jc w:val="center"/>
        <w:rPr>
          <w:rStyle w:val="Hyperlink"/>
          <w:rFonts w:ascii="Times New Roman" w:eastAsia="Times New Roman" w:hAnsi="Times New Roman" w:cs="Times New Roman"/>
          <w:lang w:eastAsia="tr-TR"/>
        </w:rPr>
      </w:pPr>
    </w:p>
    <w:p w:rsidR="00CF7F44" w:rsidRPr="00C2700F" w:rsidRDefault="00CF7F44" w:rsidP="00CF7F44">
      <w:pPr>
        <w:jc w:val="center"/>
        <w:rPr>
          <w:rFonts w:asciiTheme="majorHAnsi" w:hAnsiTheme="majorHAnsi"/>
          <w:b/>
          <w:lang w:eastAsia="tr-TR"/>
        </w:rPr>
      </w:pPr>
      <w:r w:rsidRPr="00C2700F">
        <w:rPr>
          <w:rFonts w:asciiTheme="majorHAnsi" w:hAnsiTheme="majorHAnsi"/>
          <w:b/>
          <w:lang w:eastAsia="tr-TR"/>
        </w:rPr>
        <w:t>İş Konseyi Çalışan Bilgileri</w:t>
      </w:r>
    </w:p>
    <w:p w:rsidR="00CF7F44" w:rsidRPr="00C2700F" w:rsidRDefault="00CF7F44" w:rsidP="00CF7F44">
      <w:pPr>
        <w:spacing w:after="0" w:line="240" w:lineRule="auto"/>
        <w:contextualSpacing/>
        <w:jc w:val="center"/>
        <w:rPr>
          <w:rFonts w:eastAsia="Times New Roman" w:cs="Times New Roman"/>
          <w:lang w:eastAsia="tr-TR"/>
        </w:rPr>
      </w:pPr>
      <w:r w:rsidRPr="00C2700F">
        <w:rPr>
          <w:rFonts w:eastAsia="Times New Roman" w:cs="Times New Roman"/>
          <w:lang w:eastAsia="tr-TR"/>
        </w:rPr>
        <w:t>Barış Çuvalcı, Afrika Bölge Koordinatörü, +90 212 339 50 32</w:t>
      </w:r>
    </w:p>
    <w:p w:rsidR="00CF7F44" w:rsidRPr="00C2700F" w:rsidRDefault="00CF7F44" w:rsidP="00CF7F44">
      <w:pPr>
        <w:spacing w:after="0" w:line="240" w:lineRule="auto"/>
        <w:contextualSpacing/>
        <w:jc w:val="center"/>
        <w:rPr>
          <w:rFonts w:eastAsia="Times New Roman" w:cs="Times New Roman"/>
          <w:lang w:eastAsia="tr-TR"/>
        </w:rPr>
      </w:pPr>
      <w:r>
        <w:rPr>
          <w:rFonts w:eastAsia="Times New Roman" w:cs="Times New Roman"/>
          <w:lang w:eastAsia="tr-TR"/>
        </w:rPr>
        <w:t>Evren Doğan</w:t>
      </w:r>
      <w:r w:rsidRPr="00C2700F">
        <w:rPr>
          <w:rFonts w:eastAsia="Times New Roman" w:cs="Times New Roman"/>
          <w:lang w:eastAsia="tr-TR"/>
        </w:rPr>
        <w:t>, İş Konsey</w:t>
      </w:r>
      <w:r>
        <w:rPr>
          <w:rFonts w:eastAsia="Times New Roman" w:cs="Times New Roman"/>
          <w:lang w:eastAsia="tr-TR"/>
        </w:rPr>
        <w:t>i Koordinatörü, +90 212 339 50 5</w:t>
      </w:r>
      <w:r w:rsidRPr="00C2700F">
        <w:rPr>
          <w:rFonts w:eastAsia="Times New Roman" w:cs="Times New Roman"/>
          <w:lang w:eastAsia="tr-TR"/>
        </w:rPr>
        <w:t>1</w:t>
      </w:r>
    </w:p>
    <w:p w:rsidR="00CF7F44" w:rsidRDefault="00CF7F44" w:rsidP="00CF7F44">
      <w:pPr>
        <w:spacing w:after="0" w:line="240" w:lineRule="auto"/>
        <w:contextualSpacing/>
        <w:jc w:val="center"/>
        <w:rPr>
          <w:rFonts w:eastAsia="Times New Roman" w:cs="Times New Roman"/>
          <w:lang w:eastAsia="tr-TR"/>
        </w:rPr>
      </w:pPr>
      <w:r w:rsidRPr="00C2700F">
        <w:rPr>
          <w:rFonts w:eastAsia="Times New Roman" w:cs="Times New Roman"/>
          <w:lang w:eastAsia="tr-TR"/>
        </w:rPr>
        <w:t>İrem Develioğlu, İş Konseyi Koordinatör Yardımcısı, +90 212 339 50 70</w:t>
      </w:r>
    </w:p>
    <w:p w:rsidR="00CF7F44" w:rsidRDefault="00CF7F44" w:rsidP="00CF7F44">
      <w:pPr>
        <w:spacing w:after="0" w:line="240" w:lineRule="auto"/>
        <w:contextualSpacing/>
        <w:jc w:val="center"/>
        <w:rPr>
          <w:rFonts w:eastAsia="Times New Roman" w:cs="Times New Roman"/>
          <w:lang w:eastAsia="tr-TR"/>
        </w:rPr>
      </w:pPr>
      <w:r>
        <w:rPr>
          <w:rFonts w:eastAsia="Times New Roman" w:cs="Times New Roman"/>
          <w:lang w:eastAsia="tr-TR"/>
        </w:rPr>
        <w:t xml:space="preserve">Saadet Gülmez, </w:t>
      </w:r>
      <w:r w:rsidRPr="00C2700F">
        <w:rPr>
          <w:rFonts w:eastAsia="Times New Roman" w:cs="Times New Roman"/>
          <w:lang w:eastAsia="tr-TR"/>
        </w:rPr>
        <w:t>, İş Konseyi Koordinat</w:t>
      </w:r>
      <w:r>
        <w:rPr>
          <w:rFonts w:eastAsia="Times New Roman" w:cs="Times New Roman"/>
          <w:lang w:eastAsia="tr-TR"/>
        </w:rPr>
        <w:t>ör Yardımcısı, +90 212 339 50 61</w:t>
      </w:r>
    </w:p>
    <w:p w:rsidR="00CF7F44" w:rsidRPr="00C2700F" w:rsidRDefault="00CF7F44" w:rsidP="00CF7F44">
      <w:pPr>
        <w:spacing w:after="0" w:line="240" w:lineRule="auto"/>
        <w:contextualSpacing/>
        <w:jc w:val="center"/>
        <w:rPr>
          <w:rFonts w:eastAsia="Times New Roman" w:cs="Times New Roman"/>
          <w:lang w:eastAsia="tr-TR"/>
        </w:rPr>
      </w:pPr>
      <w:r w:rsidRPr="00C2700F">
        <w:rPr>
          <w:rFonts w:eastAsia="Times New Roman" w:cs="Times New Roman"/>
          <w:b/>
          <w:lang w:eastAsia="tr-TR"/>
        </w:rPr>
        <w:t>E-posta</w:t>
      </w:r>
      <w:r w:rsidRPr="00C2700F">
        <w:rPr>
          <w:rFonts w:eastAsia="Times New Roman" w:cs="Times New Roman"/>
          <w:lang w:eastAsia="tr-TR"/>
        </w:rPr>
        <w:t>:</w:t>
      </w:r>
      <w:r>
        <w:rPr>
          <w:rFonts w:eastAsia="Times New Roman" w:cs="Times New Roman"/>
          <w:lang w:eastAsia="tr-TR"/>
        </w:rPr>
        <w:t xml:space="preserve"> </w:t>
      </w:r>
      <w:hyperlink r:id="rId18" w:history="1">
        <w:r w:rsidRPr="00E21173">
          <w:rPr>
            <w:rStyle w:val="Hyperlink"/>
            <w:rFonts w:eastAsia="Times New Roman" w:cs="Times New Roman"/>
            <w:lang w:eastAsia="tr-TR"/>
          </w:rPr>
          <w:t>africa@deik.org.tr</w:t>
        </w:r>
      </w:hyperlink>
    </w:p>
    <w:p w:rsidR="00CF7F44" w:rsidRPr="00F04001" w:rsidRDefault="00CF7F44" w:rsidP="00070759">
      <w:pPr>
        <w:spacing w:after="0" w:line="240" w:lineRule="auto"/>
        <w:jc w:val="center"/>
        <w:rPr>
          <w:rFonts w:eastAsia="Times New Roman" w:cs="Times New Roman"/>
          <w:lang w:eastAsia="tr-TR"/>
        </w:rPr>
      </w:pPr>
    </w:p>
    <w:p w:rsidR="00276023" w:rsidRDefault="00276023">
      <w:pPr>
        <w:rPr>
          <w:rFonts w:asciiTheme="majorHAnsi" w:eastAsia="Times New Roman" w:hAnsiTheme="majorHAnsi" w:cstheme="majorBidi"/>
          <w:b/>
          <w:bCs/>
          <w:color w:val="365F91" w:themeColor="accent1" w:themeShade="BF"/>
          <w:sz w:val="28"/>
          <w:szCs w:val="28"/>
          <w:lang w:eastAsia="tr-TR"/>
        </w:rPr>
      </w:pPr>
      <w:bookmarkStart w:id="47" w:name="_Toc491348200"/>
      <w:r>
        <w:rPr>
          <w:rFonts w:eastAsia="Times New Roman"/>
          <w:lang w:eastAsia="tr-TR"/>
        </w:rPr>
        <w:br w:type="page"/>
      </w:r>
    </w:p>
    <w:p w:rsidR="00CF7F44" w:rsidRPr="003C480D" w:rsidRDefault="00CF7F44" w:rsidP="00FD2DE9">
      <w:pPr>
        <w:pStyle w:val="Heading1"/>
        <w:jc w:val="center"/>
      </w:pPr>
      <w:r w:rsidRPr="00D66755">
        <w:rPr>
          <w:rFonts w:eastAsia="Times New Roman"/>
          <w:lang w:eastAsia="tr-TR"/>
        </w:rPr>
        <w:lastRenderedPageBreak/>
        <w:t>Yürütme Kurulu Üyeleri</w:t>
      </w:r>
      <w:bookmarkEnd w:id="47"/>
    </w:p>
    <w:tbl>
      <w:tblPr>
        <w:tblStyle w:val="TableGrid"/>
        <w:tblW w:w="9260" w:type="dxa"/>
        <w:tblLayout w:type="fixed"/>
        <w:tblLook w:val="04A0" w:firstRow="1" w:lastRow="0" w:firstColumn="1" w:lastColumn="0" w:noHBand="0" w:noVBand="1"/>
      </w:tblPr>
      <w:tblGrid>
        <w:gridCol w:w="1064"/>
        <w:gridCol w:w="1513"/>
        <w:gridCol w:w="3053"/>
        <w:gridCol w:w="1742"/>
        <w:gridCol w:w="1888"/>
      </w:tblGrid>
      <w:tr w:rsidR="003415F1" w:rsidRPr="00CF7F44" w:rsidTr="00CF7F44">
        <w:trPr>
          <w:trHeight w:val="719"/>
        </w:trPr>
        <w:tc>
          <w:tcPr>
            <w:tcW w:w="1064" w:type="dxa"/>
            <w:vAlign w:val="center"/>
            <w:hideMark/>
          </w:tcPr>
          <w:p w:rsidR="003415F1" w:rsidRPr="00CF7F44" w:rsidRDefault="003415F1" w:rsidP="0078611F">
            <w:pPr>
              <w:pStyle w:val="NoSpacing"/>
              <w:jc w:val="center"/>
              <w:rPr>
                <w:rFonts w:eastAsia="Times New Roman"/>
                <w:b/>
                <w:sz w:val="18"/>
              </w:rPr>
            </w:pPr>
            <w:r w:rsidRPr="00CF7F44">
              <w:rPr>
                <w:rFonts w:eastAsia="Times New Roman"/>
                <w:b/>
                <w:sz w:val="18"/>
              </w:rPr>
              <w:t>Kişi Adı</w:t>
            </w:r>
          </w:p>
        </w:tc>
        <w:tc>
          <w:tcPr>
            <w:tcW w:w="1513" w:type="dxa"/>
            <w:vAlign w:val="center"/>
            <w:hideMark/>
          </w:tcPr>
          <w:p w:rsidR="003415F1" w:rsidRPr="00CF7F44" w:rsidRDefault="003415F1" w:rsidP="0078611F">
            <w:pPr>
              <w:pStyle w:val="NoSpacing"/>
              <w:jc w:val="center"/>
              <w:rPr>
                <w:rFonts w:eastAsia="Times New Roman"/>
                <w:b/>
                <w:sz w:val="18"/>
              </w:rPr>
            </w:pPr>
            <w:r w:rsidRPr="00CF7F44">
              <w:rPr>
                <w:rFonts w:eastAsia="Times New Roman"/>
                <w:b/>
                <w:sz w:val="18"/>
              </w:rPr>
              <w:t>Kişi Soyadı</w:t>
            </w:r>
          </w:p>
        </w:tc>
        <w:tc>
          <w:tcPr>
            <w:tcW w:w="3053" w:type="dxa"/>
            <w:vAlign w:val="center"/>
            <w:hideMark/>
          </w:tcPr>
          <w:p w:rsidR="003415F1" w:rsidRPr="00CF7F44" w:rsidRDefault="003415F1" w:rsidP="0078611F">
            <w:pPr>
              <w:pStyle w:val="NoSpacing"/>
              <w:jc w:val="center"/>
              <w:rPr>
                <w:rFonts w:eastAsia="Times New Roman"/>
                <w:b/>
                <w:sz w:val="18"/>
              </w:rPr>
            </w:pPr>
            <w:r w:rsidRPr="00CF7F44">
              <w:rPr>
                <w:rFonts w:eastAsia="Times New Roman"/>
                <w:b/>
                <w:sz w:val="18"/>
              </w:rPr>
              <w:t>Firma</w:t>
            </w:r>
          </w:p>
        </w:tc>
        <w:tc>
          <w:tcPr>
            <w:tcW w:w="1742" w:type="dxa"/>
            <w:vAlign w:val="center"/>
            <w:hideMark/>
          </w:tcPr>
          <w:p w:rsidR="003415F1" w:rsidRPr="00CF7F44" w:rsidRDefault="003415F1" w:rsidP="0078611F">
            <w:pPr>
              <w:pStyle w:val="NoSpacing"/>
              <w:jc w:val="center"/>
              <w:rPr>
                <w:rFonts w:eastAsia="Times New Roman"/>
                <w:b/>
                <w:sz w:val="18"/>
              </w:rPr>
            </w:pPr>
            <w:r w:rsidRPr="00CF7F44">
              <w:rPr>
                <w:rFonts w:eastAsia="Times New Roman"/>
                <w:b/>
                <w:sz w:val="18"/>
              </w:rPr>
              <w:t>Firma Unvanı</w:t>
            </w:r>
          </w:p>
        </w:tc>
        <w:tc>
          <w:tcPr>
            <w:tcW w:w="1888" w:type="dxa"/>
            <w:vAlign w:val="center"/>
            <w:hideMark/>
          </w:tcPr>
          <w:p w:rsidR="003415F1" w:rsidRPr="00CF7F44" w:rsidRDefault="003415F1" w:rsidP="0078611F">
            <w:pPr>
              <w:pStyle w:val="NoSpacing"/>
              <w:jc w:val="center"/>
              <w:rPr>
                <w:rFonts w:eastAsia="Times New Roman"/>
                <w:b/>
                <w:sz w:val="18"/>
              </w:rPr>
            </w:pPr>
            <w:r w:rsidRPr="00CF7F44">
              <w:rPr>
                <w:rFonts w:eastAsia="Times New Roman"/>
                <w:b/>
                <w:sz w:val="18"/>
              </w:rPr>
              <w:t>Konsey Unvanı</w:t>
            </w:r>
          </w:p>
        </w:tc>
      </w:tr>
      <w:tr w:rsidR="003415F1" w:rsidRPr="00CF7F44" w:rsidTr="00CF7F44">
        <w:trPr>
          <w:trHeight w:val="719"/>
        </w:trPr>
        <w:tc>
          <w:tcPr>
            <w:tcW w:w="1064"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M.Kemal</w:t>
            </w:r>
          </w:p>
        </w:tc>
        <w:tc>
          <w:tcPr>
            <w:tcW w:w="1513"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Koloğlu</w:t>
            </w:r>
          </w:p>
        </w:tc>
        <w:tc>
          <w:tcPr>
            <w:tcW w:w="3053"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Kolin İnşaat Turizm Sanayi ve Tic. A.Ş</w:t>
            </w:r>
          </w:p>
        </w:tc>
        <w:tc>
          <w:tcPr>
            <w:tcW w:w="1742"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Koordinatör</w:t>
            </w:r>
          </w:p>
        </w:tc>
        <w:tc>
          <w:tcPr>
            <w:tcW w:w="1888"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İş Konseyi Başkanı</w:t>
            </w:r>
          </w:p>
        </w:tc>
      </w:tr>
      <w:tr w:rsidR="003415F1" w:rsidRPr="00CF7F44" w:rsidTr="00CF7F44">
        <w:trPr>
          <w:trHeight w:val="719"/>
        </w:trPr>
        <w:tc>
          <w:tcPr>
            <w:tcW w:w="1064"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Müjde</w:t>
            </w:r>
          </w:p>
        </w:tc>
        <w:tc>
          <w:tcPr>
            <w:tcW w:w="1513"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Ferahlı Aktaş</w:t>
            </w:r>
          </w:p>
        </w:tc>
        <w:tc>
          <w:tcPr>
            <w:tcW w:w="3053"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Feka İnşaat Sanayi ve Ticaret A.Ş.</w:t>
            </w:r>
          </w:p>
        </w:tc>
        <w:tc>
          <w:tcPr>
            <w:tcW w:w="1742"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Yön. Kur. Bşk. Vekili</w:t>
            </w:r>
          </w:p>
        </w:tc>
        <w:tc>
          <w:tcPr>
            <w:tcW w:w="1888"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İş Konseyi Başkan Yardımcısı</w:t>
            </w:r>
          </w:p>
        </w:tc>
      </w:tr>
      <w:tr w:rsidR="003415F1" w:rsidRPr="00CF7F44" w:rsidTr="00CF7F44">
        <w:trPr>
          <w:trHeight w:val="719"/>
        </w:trPr>
        <w:tc>
          <w:tcPr>
            <w:tcW w:w="1064"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Ali Bora</w:t>
            </w:r>
          </w:p>
        </w:tc>
        <w:tc>
          <w:tcPr>
            <w:tcW w:w="1513"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İşbulan</w:t>
            </w:r>
          </w:p>
        </w:tc>
        <w:tc>
          <w:tcPr>
            <w:tcW w:w="3053"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Tav İşletme Hizmetleri A.Ş.</w:t>
            </w:r>
          </w:p>
        </w:tc>
        <w:tc>
          <w:tcPr>
            <w:tcW w:w="1742"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Genel Müdür</w:t>
            </w:r>
          </w:p>
        </w:tc>
        <w:tc>
          <w:tcPr>
            <w:tcW w:w="1888"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İş Konseyi Başkan Yardımcısı</w:t>
            </w:r>
          </w:p>
        </w:tc>
      </w:tr>
      <w:tr w:rsidR="003415F1" w:rsidRPr="00CF7F44" w:rsidTr="00CF7F44">
        <w:trPr>
          <w:trHeight w:val="719"/>
        </w:trPr>
        <w:tc>
          <w:tcPr>
            <w:tcW w:w="1064"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Deniz</w:t>
            </w:r>
          </w:p>
        </w:tc>
        <w:tc>
          <w:tcPr>
            <w:tcW w:w="1513"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Türkkan</w:t>
            </w:r>
          </w:p>
        </w:tc>
        <w:tc>
          <w:tcPr>
            <w:tcW w:w="3053"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Dvk İnşaat Tur. Müh. San. İç ve Diş Tic. A.Ş.</w:t>
            </w:r>
          </w:p>
        </w:tc>
        <w:tc>
          <w:tcPr>
            <w:tcW w:w="1742"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Yönetim Kurulu Başkanı</w:t>
            </w:r>
          </w:p>
        </w:tc>
        <w:tc>
          <w:tcPr>
            <w:tcW w:w="1888"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İş Konseyi YK Üyesi</w:t>
            </w:r>
          </w:p>
        </w:tc>
      </w:tr>
      <w:tr w:rsidR="003415F1" w:rsidRPr="00CF7F44" w:rsidTr="00CF7F44">
        <w:trPr>
          <w:trHeight w:val="719"/>
        </w:trPr>
        <w:tc>
          <w:tcPr>
            <w:tcW w:w="1064"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Altuğ</w:t>
            </w:r>
          </w:p>
        </w:tc>
        <w:tc>
          <w:tcPr>
            <w:tcW w:w="1513"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Akbaş</w:t>
            </w:r>
          </w:p>
        </w:tc>
        <w:tc>
          <w:tcPr>
            <w:tcW w:w="3053"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 xml:space="preserve">Kalekim Kimyevi Maddeler San. </w:t>
            </w:r>
            <w:proofErr w:type="gramStart"/>
            <w:r w:rsidRPr="00CF7F44">
              <w:rPr>
                <w:rFonts w:eastAsia="Times New Roman"/>
                <w:sz w:val="18"/>
              </w:rPr>
              <w:t>ve</w:t>
            </w:r>
            <w:proofErr w:type="gramEnd"/>
            <w:r w:rsidRPr="00CF7F44">
              <w:rPr>
                <w:rFonts w:eastAsia="Times New Roman"/>
                <w:sz w:val="18"/>
              </w:rPr>
              <w:t xml:space="preserve"> Tic. A.Ş.</w:t>
            </w:r>
          </w:p>
        </w:tc>
        <w:tc>
          <w:tcPr>
            <w:tcW w:w="1742"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Yön. Kur. Üye. &amp; Gen. Müd.</w:t>
            </w:r>
          </w:p>
        </w:tc>
        <w:tc>
          <w:tcPr>
            <w:tcW w:w="1888"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İş Konseyi YK Üyesi</w:t>
            </w:r>
          </w:p>
        </w:tc>
      </w:tr>
      <w:tr w:rsidR="003415F1" w:rsidRPr="00CF7F44" w:rsidTr="00CF7F44">
        <w:trPr>
          <w:trHeight w:val="719"/>
        </w:trPr>
        <w:tc>
          <w:tcPr>
            <w:tcW w:w="1064"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Coşkun</w:t>
            </w:r>
          </w:p>
        </w:tc>
        <w:tc>
          <w:tcPr>
            <w:tcW w:w="1513"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Yılmaz</w:t>
            </w:r>
          </w:p>
        </w:tc>
        <w:tc>
          <w:tcPr>
            <w:tcW w:w="3053"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Kayı İnşaat Sanayi ve Ticaret A.Ş</w:t>
            </w:r>
          </w:p>
        </w:tc>
        <w:tc>
          <w:tcPr>
            <w:tcW w:w="1742"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Yönetim Kurulu Başkanı</w:t>
            </w:r>
          </w:p>
        </w:tc>
        <w:tc>
          <w:tcPr>
            <w:tcW w:w="1888"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İş Konseyi YK Üyesi</w:t>
            </w:r>
          </w:p>
        </w:tc>
      </w:tr>
      <w:tr w:rsidR="003415F1" w:rsidRPr="00CF7F44" w:rsidTr="00CF7F44">
        <w:trPr>
          <w:trHeight w:val="719"/>
        </w:trPr>
        <w:tc>
          <w:tcPr>
            <w:tcW w:w="1064"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Hasan</w:t>
            </w:r>
          </w:p>
        </w:tc>
        <w:tc>
          <w:tcPr>
            <w:tcW w:w="1513"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Ulusoy</w:t>
            </w:r>
          </w:p>
        </w:tc>
        <w:tc>
          <w:tcPr>
            <w:tcW w:w="3053"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Nobel İlaç Sanayi ve Ticaret A.Ş.</w:t>
            </w:r>
          </w:p>
        </w:tc>
        <w:tc>
          <w:tcPr>
            <w:tcW w:w="1742"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Yönetim Kurulu Başkanı</w:t>
            </w:r>
          </w:p>
        </w:tc>
        <w:tc>
          <w:tcPr>
            <w:tcW w:w="1888"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İş Konseyi YK Üyesi</w:t>
            </w:r>
          </w:p>
        </w:tc>
      </w:tr>
      <w:tr w:rsidR="003415F1" w:rsidRPr="00CF7F44" w:rsidTr="00CF7F44">
        <w:trPr>
          <w:trHeight w:val="719"/>
        </w:trPr>
        <w:tc>
          <w:tcPr>
            <w:tcW w:w="1064"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İbrahim Çetin</w:t>
            </w:r>
          </w:p>
        </w:tc>
        <w:tc>
          <w:tcPr>
            <w:tcW w:w="1513"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Özdemir</w:t>
            </w:r>
          </w:p>
        </w:tc>
        <w:tc>
          <w:tcPr>
            <w:tcW w:w="3053"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Siyahkalem Mühendislik İnşaat Sanayi ve Ticaret A.Ş.</w:t>
            </w:r>
          </w:p>
        </w:tc>
        <w:tc>
          <w:tcPr>
            <w:tcW w:w="1742"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Genel Müdür</w:t>
            </w:r>
          </w:p>
        </w:tc>
        <w:tc>
          <w:tcPr>
            <w:tcW w:w="1888"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İş Konseyi YK Üyesi</w:t>
            </w:r>
          </w:p>
        </w:tc>
      </w:tr>
      <w:tr w:rsidR="003415F1" w:rsidRPr="00CF7F44" w:rsidTr="00CF7F44">
        <w:trPr>
          <w:trHeight w:val="719"/>
        </w:trPr>
        <w:tc>
          <w:tcPr>
            <w:tcW w:w="1064"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Fahrettin</w:t>
            </w:r>
          </w:p>
        </w:tc>
        <w:tc>
          <w:tcPr>
            <w:tcW w:w="1513"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Oylum</w:t>
            </w:r>
          </w:p>
        </w:tc>
        <w:tc>
          <w:tcPr>
            <w:tcW w:w="3053"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 xml:space="preserve">Teknopalas Yüksek Teknoloji Sistemleri San. </w:t>
            </w:r>
            <w:proofErr w:type="gramStart"/>
            <w:r w:rsidRPr="00CF7F44">
              <w:rPr>
                <w:rFonts w:eastAsia="Times New Roman"/>
                <w:sz w:val="18"/>
              </w:rPr>
              <w:t>ve</w:t>
            </w:r>
            <w:proofErr w:type="gramEnd"/>
            <w:r w:rsidRPr="00CF7F44">
              <w:rPr>
                <w:rFonts w:eastAsia="Times New Roman"/>
                <w:sz w:val="18"/>
              </w:rPr>
              <w:t xml:space="preserve"> Tic. Ltd. Şti.</w:t>
            </w:r>
          </w:p>
        </w:tc>
        <w:tc>
          <w:tcPr>
            <w:tcW w:w="1742"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Yönetim Kurulu Başkan Yrd.</w:t>
            </w:r>
          </w:p>
        </w:tc>
        <w:tc>
          <w:tcPr>
            <w:tcW w:w="1888"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İş Konseyi YK Üyesi</w:t>
            </w:r>
          </w:p>
        </w:tc>
      </w:tr>
      <w:tr w:rsidR="003415F1" w:rsidRPr="00CF7F44" w:rsidTr="00CF7F44">
        <w:trPr>
          <w:trHeight w:val="719"/>
        </w:trPr>
        <w:tc>
          <w:tcPr>
            <w:tcW w:w="1064"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Ruşen</w:t>
            </w:r>
          </w:p>
        </w:tc>
        <w:tc>
          <w:tcPr>
            <w:tcW w:w="1513"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Çetin</w:t>
            </w:r>
          </w:p>
        </w:tc>
        <w:tc>
          <w:tcPr>
            <w:tcW w:w="3053"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Tureks İthalat İhracat ve Ticaret A.Ş.</w:t>
            </w:r>
          </w:p>
        </w:tc>
        <w:tc>
          <w:tcPr>
            <w:tcW w:w="1742"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Yönetim Kurulu Başkanı</w:t>
            </w:r>
          </w:p>
        </w:tc>
        <w:tc>
          <w:tcPr>
            <w:tcW w:w="1888"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İş Konseyi YK Üyesi</w:t>
            </w:r>
          </w:p>
        </w:tc>
      </w:tr>
      <w:tr w:rsidR="003415F1" w:rsidRPr="00CF7F44" w:rsidTr="00CF7F44">
        <w:trPr>
          <w:trHeight w:val="719"/>
        </w:trPr>
        <w:tc>
          <w:tcPr>
            <w:tcW w:w="1064"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Haldun</w:t>
            </w:r>
          </w:p>
        </w:tc>
        <w:tc>
          <w:tcPr>
            <w:tcW w:w="1513"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Kilit</w:t>
            </w:r>
          </w:p>
        </w:tc>
        <w:tc>
          <w:tcPr>
            <w:tcW w:w="3053"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Ahk İnşaat Turizm Dek. San. Tic. Ltd. Şti.</w:t>
            </w:r>
          </w:p>
        </w:tc>
        <w:tc>
          <w:tcPr>
            <w:tcW w:w="1742"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Firma Sahibi</w:t>
            </w:r>
          </w:p>
        </w:tc>
        <w:tc>
          <w:tcPr>
            <w:tcW w:w="1888"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İş Konseyi YK Üyesi (Genişletilmiş)</w:t>
            </w:r>
          </w:p>
        </w:tc>
      </w:tr>
      <w:tr w:rsidR="003415F1" w:rsidRPr="00CF7F44" w:rsidTr="00CF7F44">
        <w:trPr>
          <w:trHeight w:val="719"/>
        </w:trPr>
        <w:tc>
          <w:tcPr>
            <w:tcW w:w="1064"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Ahmet Sami</w:t>
            </w:r>
          </w:p>
        </w:tc>
        <w:tc>
          <w:tcPr>
            <w:tcW w:w="1513"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İşler</w:t>
            </w:r>
          </w:p>
        </w:tc>
        <w:tc>
          <w:tcPr>
            <w:tcW w:w="3053"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Albayrak Şirketler Grubu - Trabzon Liman İşletmeciliği A.Ş.</w:t>
            </w:r>
          </w:p>
        </w:tc>
        <w:tc>
          <w:tcPr>
            <w:tcW w:w="1742"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Koordinatör</w:t>
            </w:r>
          </w:p>
        </w:tc>
        <w:tc>
          <w:tcPr>
            <w:tcW w:w="1888"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İş Konseyi YK Üyesi (Genişletilmiş)</w:t>
            </w:r>
          </w:p>
        </w:tc>
      </w:tr>
      <w:tr w:rsidR="003415F1" w:rsidRPr="00CF7F44" w:rsidTr="00CF7F44">
        <w:trPr>
          <w:trHeight w:val="719"/>
        </w:trPr>
        <w:tc>
          <w:tcPr>
            <w:tcW w:w="1064"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Samim Cenk</w:t>
            </w:r>
          </w:p>
        </w:tc>
        <w:tc>
          <w:tcPr>
            <w:tcW w:w="1513"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Alpaslan</w:t>
            </w:r>
          </w:p>
        </w:tc>
        <w:tc>
          <w:tcPr>
            <w:tcW w:w="3053"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Dal Teknik Makina Ticaret ve Sanayi A.Ş.</w:t>
            </w:r>
          </w:p>
        </w:tc>
        <w:tc>
          <w:tcPr>
            <w:tcW w:w="1742"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Uluslararası Satış Direktörü</w:t>
            </w:r>
          </w:p>
        </w:tc>
        <w:tc>
          <w:tcPr>
            <w:tcW w:w="1888"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İş Konseyi YK Üyesi (Genişletilmiş)</w:t>
            </w:r>
          </w:p>
        </w:tc>
      </w:tr>
      <w:tr w:rsidR="003415F1" w:rsidRPr="00CF7F44" w:rsidTr="00CF7F44">
        <w:trPr>
          <w:trHeight w:val="719"/>
        </w:trPr>
        <w:tc>
          <w:tcPr>
            <w:tcW w:w="1064"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Özen</w:t>
            </w:r>
          </w:p>
        </w:tc>
        <w:tc>
          <w:tcPr>
            <w:tcW w:w="1513"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Demircioğlu</w:t>
            </w:r>
          </w:p>
        </w:tc>
        <w:tc>
          <w:tcPr>
            <w:tcW w:w="3053"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Kh Gıda İç ve Dış Ticaret Ltd. Şti.</w:t>
            </w:r>
          </w:p>
        </w:tc>
        <w:tc>
          <w:tcPr>
            <w:tcW w:w="1742"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Yönetim Kurulu Başkanı</w:t>
            </w:r>
          </w:p>
        </w:tc>
        <w:tc>
          <w:tcPr>
            <w:tcW w:w="1888"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İş Konseyi YK Üyesi (Genişletilmiş)</w:t>
            </w:r>
          </w:p>
        </w:tc>
      </w:tr>
      <w:tr w:rsidR="003415F1" w:rsidRPr="00CF7F44" w:rsidTr="00CF7F44">
        <w:trPr>
          <w:trHeight w:val="719"/>
        </w:trPr>
        <w:tc>
          <w:tcPr>
            <w:tcW w:w="1064"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Tolga</w:t>
            </w:r>
          </w:p>
        </w:tc>
        <w:tc>
          <w:tcPr>
            <w:tcW w:w="1513"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Çapraz</w:t>
            </w:r>
          </w:p>
        </w:tc>
        <w:tc>
          <w:tcPr>
            <w:tcW w:w="3053"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Marland Enerji İnşaat Elektronik Gıda ve Otomotiv Sanayi Tic. Ltd. Şti.</w:t>
            </w:r>
          </w:p>
        </w:tc>
        <w:tc>
          <w:tcPr>
            <w:tcW w:w="1742"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Yönetim Kurulu Başkanı</w:t>
            </w:r>
          </w:p>
        </w:tc>
        <w:tc>
          <w:tcPr>
            <w:tcW w:w="1888"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İş Konseyi YK Üyesi (Genişletilmiş)</w:t>
            </w:r>
          </w:p>
        </w:tc>
      </w:tr>
      <w:tr w:rsidR="003415F1" w:rsidRPr="00CF7F44" w:rsidTr="00CF7F44">
        <w:trPr>
          <w:trHeight w:val="719"/>
        </w:trPr>
        <w:tc>
          <w:tcPr>
            <w:tcW w:w="1064"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Ahmet</w:t>
            </w:r>
          </w:p>
        </w:tc>
        <w:tc>
          <w:tcPr>
            <w:tcW w:w="1513"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Özhindi</w:t>
            </w:r>
          </w:p>
        </w:tc>
        <w:tc>
          <w:tcPr>
            <w:tcW w:w="3053"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Tunaylar Baskul San.Tic.A.Ş.</w:t>
            </w:r>
          </w:p>
        </w:tc>
        <w:tc>
          <w:tcPr>
            <w:tcW w:w="1742"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Satış &amp; Pazarlama Müdürü</w:t>
            </w:r>
          </w:p>
        </w:tc>
        <w:tc>
          <w:tcPr>
            <w:tcW w:w="1888" w:type="dxa"/>
            <w:vAlign w:val="center"/>
            <w:hideMark/>
          </w:tcPr>
          <w:p w:rsidR="003415F1" w:rsidRPr="00CF7F44" w:rsidRDefault="003415F1" w:rsidP="0078611F">
            <w:pPr>
              <w:pStyle w:val="NoSpacing"/>
              <w:jc w:val="center"/>
              <w:rPr>
                <w:rFonts w:eastAsia="Times New Roman"/>
                <w:sz w:val="18"/>
              </w:rPr>
            </w:pPr>
            <w:r w:rsidRPr="00CF7F44">
              <w:rPr>
                <w:rFonts w:eastAsia="Times New Roman"/>
                <w:sz w:val="18"/>
              </w:rPr>
              <w:t>İş Konseyi YK Üyesi (Genişletilmiş)</w:t>
            </w:r>
          </w:p>
        </w:tc>
      </w:tr>
    </w:tbl>
    <w:p w:rsidR="00FD2DE9" w:rsidRDefault="00FD2DE9" w:rsidP="00070759">
      <w:pPr>
        <w:pStyle w:val="Heading1"/>
        <w:jc w:val="center"/>
      </w:pPr>
    </w:p>
    <w:p w:rsidR="00FD2DE9" w:rsidRDefault="00FD2DE9" w:rsidP="003C480D">
      <w:pPr>
        <w:pStyle w:val="NoSpacing"/>
        <w:jc w:val="center"/>
        <w:rPr>
          <w:rFonts w:asciiTheme="majorHAnsi" w:eastAsiaTheme="minorHAnsi" w:hAnsiTheme="majorHAnsi" w:cs="Times New Roman"/>
          <w:b/>
          <w:lang w:val="tr-TR" w:eastAsia="en-US"/>
        </w:rPr>
      </w:pPr>
    </w:p>
    <w:p w:rsidR="00FD2DE9" w:rsidRDefault="00FD2DE9" w:rsidP="00FD2DE9">
      <w:pPr>
        <w:pStyle w:val="Heading1"/>
        <w:jc w:val="center"/>
        <w:rPr>
          <w:rFonts w:eastAsiaTheme="minorHAnsi"/>
        </w:rPr>
      </w:pPr>
      <w:bookmarkStart w:id="48" w:name="_Toc491348201"/>
      <w:r>
        <w:rPr>
          <w:rFonts w:eastAsiaTheme="minorHAnsi"/>
        </w:rPr>
        <w:lastRenderedPageBreak/>
        <w:t>İletişim</w:t>
      </w:r>
      <w:bookmarkEnd w:id="48"/>
    </w:p>
    <w:p w:rsidR="00FD2DE9" w:rsidRDefault="00FD2DE9" w:rsidP="003C480D">
      <w:pPr>
        <w:pStyle w:val="NoSpacing"/>
        <w:jc w:val="center"/>
        <w:rPr>
          <w:rFonts w:asciiTheme="majorHAnsi" w:eastAsiaTheme="minorHAnsi" w:hAnsiTheme="majorHAnsi" w:cs="Times New Roman"/>
          <w:b/>
          <w:lang w:val="tr-TR" w:eastAsia="en-US"/>
        </w:rPr>
      </w:pPr>
    </w:p>
    <w:p w:rsidR="003C480D" w:rsidRPr="00777CEA" w:rsidRDefault="003C480D" w:rsidP="003C480D">
      <w:pPr>
        <w:pStyle w:val="NoSpacing"/>
        <w:jc w:val="center"/>
        <w:rPr>
          <w:rFonts w:asciiTheme="majorHAnsi" w:eastAsiaTheme="minorHAnsi" w:hAnsiTheme="majorHAnsi" w:cs="Times New Roman"/>
          <w:b/>
          <w:lang w:val="tr-TR" w:eastAsia="en-US"/>
        </w:rPr>
      </w:pPr>
      <w:r w:rsidRPr="00777CEA">
        <w:rPr>
          <w:rFonts w:asciiTheme="majorHAnsi" w:eastAsiaTheme="minorHAnsi" w:hAnsiTheme="majorHAnsi" w:cs="Times New Roman"/>
          <w:b/>
          <w:lang w:val="tr-TR" w:eastAsia="en-US"/>
        </w:rPr>
        <w:t>Cu</w:t>
      </w:r>
      <w:r>
        <w:rPr>
          <w:rFonts w:asciiTheme="majorHAnsi" w:eastAsiaTheme="minorHAnsi" w:hAnsiTheme="majorHAnsi" w:cs="Times New Roman"/>
          <w:b/>
          <w:lang w:val="tr-TR" w:eastAsia="en-US"/>
        </w:rPr>
        <w:t>mhuriyeti Nairobi Büyükelçiliği</w:t>
      </w:r>
    </w:p>
    <w:p w:rsidR="003C480D" w:rsidRPr="00FD2DE9" w:rsidRDefault="003C480D" w:rsidP="003C480D">
      <w:pPr>
        <w:pStyle w:val="NoSpacing"/>
        <w:jc w:val="center"/>
        <w:rPr>
          <w:b/>
        </w:rPr>
      </w:pPr>
      <w:r w:rsidRPr="00FD2DE9">
        <w:rPr>
          <w:b/>
        </w:rPr>
        <w:t>Büyükelçi: Deniz Eke</w:t>
      </w:r>
    </w:p>
    <w:p w:rsidR="003C480D" w:rsidRDefault="003C480D" w:rsidP="003C480D">
      <w:pPr>
        <w:pStyle w:val="NoSpacing"/>
        <w:jc w:val="center"/>
      </w:pPr>
      <w:r>
        <w:rPr>
          <w:b/>
        </w:rPr>
        <w:t>Adres</w:t>
      </w:r>
      <w:r>
        <w:t xml:space="preserve">: </w:t>
      </w:r>
      <w:r w:rsidRPr="00744535">
        <w:t xml:space="preserve"> </w:t>
      </w:r>
      <w:r>
        <w:t xml:space="preserve">Türkiye Cumhuriyeti Nairobi Büyükelçiliği </w:t>
      </w:r>
    </w:p>
    <w:p w:rsidR="003C480D" w:rsidRDefault="003C480D" w:rsidP="003C480D">
      <w:pPr>
        <w:pStyle w:val="NoSpacing"/>
        <w:jc w:val="center"/>
      </w:pPr>
      <w:r>
        <w:t>30 Gigiri Road</w:t>
      </w:r>
    </w:p>
    <w:p w:rsidR="003C480D" w:rsidRDefault="003C480D" w:rsidP="003C480D">
      <w:pPr>
        <w:pStyle w:val="NoSpacing"/>
        <w:jc w:val="center"/>
      </w:pPr>
      <w:r>
        <w:t>P.O. Box 64748</w:t>
      </w:r>
    </w:p>
    <w:p w:rsidR="003C480D" w:rsidRPr="00744535" w:rsidRDefault="003C480D" w:rsidP="003C480D">
      <w:pPr>
        <w:pStyle w:val="NoSpacing"/>
        <w:jc w:val="center"/>
      </w:pPr>
      <w:proofErr w:type="gramStart"/>
      <w:r>
        <w:t>00620 Nairobi-Kenya</w:t>
      </w:r>
      <w:proofErr w:type="gramEnd"/>
    </w:p>
    <w:p w:rsidR="003C480D" w:rsidRDefault="003C480D" w:rsidP="003C480D">
      <w:pPr>
        <w:pStyle w:val="NoSpacing"/>
        <w:jc w:val="center"/>
      </w:pPr>
      <w:r w:rsidRPr="00AE0DF3">
        <w:rPr>
          <w:b/>
        </w:rPr>
        <w:t>Tel</w:t>
      </w:r>
      <w:r>
        <w:t xml:space="preserve">: </w:t>
      </w:r>
      <w:r w:rsidRPr="003C480D">
        <w:t>+254 20 712 69 29</w:t>
      </w:r>
      <w:r>
        <w:t xml:space="preserve">, </w:t>
      </w:r>
      <w:r w:rsidRPr="003C480D">
        <w:t>+254 20 712 69 30</w:t>
      </w:r>
    </w:p>
    <w:p w:rsidR="003C480D" w:rsidRDefault="003C480D" w:rsidP="003C480D">
      <w:pPr>
        <w:pStyle w:val="NoSpacing"/>
        <w:jc w:val="center"/>
      </w:pPr>
      <w:r w:rsidRPr="00AE0DF3">
        <w:rPr>
          <w:b/>
        </w:rPr>
        <w:t>Fax</w:t>
      </w:r>
      <w:r>
        <w:t xml:space="preserve">: </w:t>
      </w:r>
      <w:r w:rsidRPr="003C480D">
        <w:t>+254 20 712 69 31</w:t>
      </w:r>
    </w:p>
    <w:p w:rsidR="003C480D" w:rsidRPr="00B45657" w:rsidRDefault="003C480D" w:rsidP="003C480D">
      <w:pPr>
        <w:pStyle w:val="NoSpacing"/>
        <w:jc w:val="center"/>
        <w:rPr>
          <w:lang w:val="fr-FR"/>
        </w:rPr>
      </w:pPr>
      <w:r w:rsidRPr="00B45657">
        <w:rPr>
          <w:b/>
          <w:lang w:val="fr-FR"/>
        </w:rPr>
        <w:t>E-mail :</w:t>
      </w:r>
      <w:r w:rsidRPr="00B45657">
        <w:rPr>
          <w:lang w:val="fr-FR"/>
        </w:rPr>
        <w:t xml:space="preserve"> </w:t>
      </w:r>
      <w:hyperlink r:id="rId19" w:history="1">
        <w:r w:rsidRPr="00B45657">
          <w:rPr>
            <w:rStyle w:val="Hyperlink"/>
            <w:lang w:val="fr-FR"/>
          </w:rPr>
          <w:t>embassy.nairobi@mfa.gov.tr</w:t>
        </w:r>
      </w:hyperlink>
    </w:p>
    <w:p w:rsidR="003C480D" w:rsidRDefault="003C480D" w:rsidP="00777CEA">
      <w:pPr>
        <w:pStyle w:val="NoSpacing"/>
        <w:jc w:val="center"/>
      </w:pPr>
      <w:r w:rsidRPr="00777CEA">
        <w:rPr>
          <w:b/>
        </w:rPr>
        <w:t>Web</w:t>
      </w:r>
      <w:r w:rsidRPr="00744535">
        <w:t xml:space="preserve">: </w:t>
      </w:r>
      <w:hyperlink r:id="rId20" w:history="1">
        <w:r w:rsidRPr="0051352E">
          <w:rPr>
            <w:rStyle w:val="Hyperlink"/>
          </w:rPr>
          <w:t>http://nairobi.be.mfa.gov.tr</w:t>
        </w:r>
      </w:hyperlink>
    </w:p>
    <w:p w:rsidR="00777CEA" w:rsidRDefault="00777CEA" w:rsidP="00070759">
      <w:pPr>
        <w:pStyle w:val="NoSpacing"/>
        <w:jc w:val="center"/>
      </w:pPr>
    </w:p>
    <w:p w:rsidR="003C480D" w:rsidRPr="00636BB4" w:rsidRDefault="003C480D" w:rsidP="00070759">
      <w:pPr>
        <w:pStyle w:val="NoSpacing"/>
        <w:jc w:val="center"/>
      </w:pPr>
    </w:p>
    <w:p w:rsidR="00777CEA" w:rsidRPr="00777CEA" w:rsidRDefault="00777CEA" w:rsidP="00777CEA">
      <w:pPr>
        <w:pStyle w:val="NoSpacing"/>
        <w:jc w:val="center"/>
        <w:rPr>
          <w:rFonts w:asciiTheme="majorHAnsi" w:eastAsiaTheme="minorHAnsi" w:hAnsiTheme="majorHAnsi" w:cs="Times New Roman"/>
          <w:b/>
          <w:lang w:val="tr-TR" w:eastAsia="en-US"/>
        </w:rPr>
      </w:pPr>
      <w:r w:rsidRPr="00777CEA">
        <w:rPr>
          <w:rFonts w:asciiTheme="majorHAnsi" w:eastAsiaTheme="minorHAnsi" w:hAnsiTheme="majorHAnsi" w:cs="Times New Roman"/>
          <w:b/>
          <w:lang w:val="tr-TR" w:eastAsia="en-US"/>
        </w:rPr>
        <w:t>Türkiye Cumhuriyeti Nairobi Büyükelçiliği Ticaret Müşavirliği</w:t>
      </w:r>
    </w:p>
    <w:p w:rsidR="00744535" w:rsidRPr="00DF57ED" w:rsidRDefault="00744535" w:rsidP="00777CEA">
      <w:pPr>
        <w:pStyle w:val="NoSpacing"/>
        <w:jc w:val="center"/>
        <w:rPr>
          <w:b/>
        </w:rPr>
      </w:pPr>
      <w:r w:rsidRPr="00DF57ED">
        <w:rPr>
          <w:b/>
        </w:rPr>
        <w:t>Ticaret Müşaviri</w:t>
      </w:r>
      <w:r w:rsidR="00777CEA" w:rsidRPr="00DF57ED">
        <w:rPr>
          <w:b/>
        </w:rPr>
        <w:t xml:space="preserve">: </w:t>
      </w:r>
      <w:r w:rsidRPr="00DF57ED">
        <w:rPr>
          <w:b/>
        </w:rPr>
        <w:t>Selman KURT</w:t>
      </w:r>
    </w:p>
    <w:p w:rsidR="00744535" w:rsidRPr="00744535" w:rsidRDefault="00AE0DF3" w:rsidP="00777CEA">
      <w:pPr>
        <w:pStyle w:val="NoSpacing"/>
        <w:jc w:val="center"/>
      </w:pPr>
      <w:r>
        <w:rPr>
          <w:b/>
        </w:rPr>
        <w:t>Adres</w:t>
      </w:r>
      <w:r w:rsidR="00777CEA">
        <w:t xml:space="preserve">: </w:t>
      </w:r>
      <w:r w:rsidR="00744535" w:rsidRPr="00744535">
        <w:t xml:space="preserve"> 00 254 207 124 779</w:t>
      </w:r>
    </w:p>
    <w:p w:rsidR="00744535" w:rsidRPr="00744535" w:rsidRDefault="00744535" w:rsidP="00777CEA">
      <w:pPr>
        <w:pStyle w:val="NoSpacing"/>
        <w:jc w:val="center"/>
      </w:pPr>
      <w:r w:rsidRPr="00744535">
        <w:t>30 Gigiri Road 00620 Nairobi / Kenya</w:t>
      </w:r>
    </w:p>
    <w:p w:rsidR="00744535" w:rsidRPr="00744535" w:rsidRDefault="00744535" w:rsidP="00777CEA">
      <w:pPr>
        <w:pStyle w:val="NoSpacing"/>
        <w:jc w:val="center"/>
      </w:pPr>
      <w:r w:rsidRPr="00777CEA">
        <w:rPr>
          <w:b/>
        </w:rPr>
        <w:t>Web</w:t>
      </w:r>
      <w:r w:rsidRPr="00744535">
        <w:t xml:space="preserve">: </w:t>
      </w:r>
      <w:hyperlink r:id="rId21" w:history="1">
        <w:r w:rsidRPr="00777CEA">
          <w:rPr>
            <w:rStyle w:val="Hyperlink"/>
          </w:rPr>
          <w:t>www.counsellors.gov.tr</w:t>
        </w:r>
      </w:hyperlink>
      <w:r w:rsidRPr="00744535">
        <w:t xml:space="preserve"> (Kenya)</w:t>
      </w:r>
    </w:p>
    <w:p w:rsidR="00744535" w:rsidRPr="00B45657" w:rsidRDefault="00744535" w:rsidP="00777CEA">
      <w:pPr>
        <w:pStyle w:val="NoSpacing"/>
        <w:jc w:val="center"/>
        <w:rPr>
          <w:lang w:val="fr-FR"/>
        </w:rPr>
      </w:pPr>
      <w:r w:rsidRPr="00B45657">
        <w:rPr>
          <w:b/>
          <w:lang w:val="fr-FR"/>
        </w:rPr>
        <w:t>E-mail :</w:t>
      </w:r>
      <w:r w:rsidRPr="00B45657">
        <w:rPr>
          <w:lang w:val="fr-FR"/>
        </w:rPr>
        <w:t xml:space="preserve"> </w:t>
      </w:r>
      <w:hyperlink r:id="rId22" w:history="1">
        <w:r w:rsidRPr="00B45657">
          <w:rPr>
            <w:rStyle w:val="Hyperlink"/>
            <w:lang w:val="fr-FR"/>
          </w:rPr>
          <w:t>nairobi@ekonomi.gov.tr</w:t>
        </w:r>
      </w:hyperlink>
    </w:p>
    <w:p w:rsidR="00744535" w:rsidRPr="00B45657" w:rsidRDefault="00744535" w:rsidP="00777CEA">
      <w:pPr>
        <w:pStyle w:val="NoSpacing"/>
        <w:jc w:val="center"/>
        <w:rPr>
          <w:lang w:val="fr-FR"/>
        </w:rPr>
      </w:pPr>
    </w:p>
    <w:p w:rsidR="003C480D" w:rsidRPr="00B45657" w:rsidRDefault="003C480D" w:rsidP="00777CEA">
      <w:pPr>
        <w:pStyle w:val="NoSpacing"/>
        <w:jc w:val="center"/>
        <w:rPr>
          <w:lang w:val="fr-FR"/>
        </w:rPr>
      </w:pPr>
    </w:p>
    <w:p w:rsidR="00744535" w:rsidRPr="00777CEA" w:rsidRDefault="00744535" w:rsidP="00777CEA">
      <w:pPr>
        <w:pStyle w:val="NoSpacing"/>
        <w:jc w:val="center"/>
        <w:rPr>
          <w:rFonts w:asciiTheme="majorHAnsi" w:eastAsiaTheme="minorHAnsi" w:hAnsiTheme="majorHAnsi" w:cs="Times New Roman"/>
          <w:b/>
          <w:lang w:val="tr-TR" w:eastAsia="en-US"/>
        </w:rPr>
      </w:pPr>
      <w:r w:rsidRPr="00777CEA">
        <w:rPr>
          <w:rFonts w:asciiTheme="majorHAnsi" w:eastAsiaTheme="minorHAnsi" w:hAnsiTheme="majorHAnsi" w:cs="Times New Roman"/>
          <w:b/>
          <w:lang w:val="tr-TR" w:eastAsia="en-US"/>
        </w:rPr>
        <w:t>Web Adresleri:</w:t>
      </w:r>
    </w:p>
    <w:p w:rsidR="00777CEA" w:rsidRPr="00777CEA" w:rsidRDefault="00777CEA" w:rsidP="00777CEA">
      <w:pPr>
        <w:pStyle w:val="NoSpacing"/>
        <w:jc w:val="center"/>
        <w:rPr>
          <w:b/>
        </w:rPr>
      </w:pPr>
      <w:r w:rsidRPr="00777CEA">
        <w:rPr>
          <w:b/>
        </w:rPr>
        <w:t xml:space="preserve">Şirket Kurulumları: </w:t>
      </w:r>
    </w:p>
    <w:p w:rsidR="00744535" w:rsidRDefault="00B45657" w:rsidP="00777CEA">
      <w:pPr>
        <w:pStyle w:val="NoSpacing"/>
        <w:jc w:val="center"/>
      </w:pPr>
      <w:hyperlink r:id="rId23" w:history="1">
        <w:r w:rsidR="00777CEA" w:rsidRPr="0051352E">
          <w:rPr>
            <w:rStyle w:val="Hyperlink"/>
          </w:rPr>
          <w:t>https://kenya.eregulations.org/</w:t>
        </w:r>
      </w:hyperlink>
    </w:p>
    <w:p w:rsidR="00777CEA" w:rsidRPr="00744535" w:rsidRDefault="00777CEA" w:rsidP="00777CEA">
      <w:pPr>
        <w:pStyle w:val="NoSpacing"/>
        <w:jc w:val="center"/>
      </w:pPr>
    </w:p>
    <w:p w:rsidR="00777CEA" w:rsidRPr="00777CEA" w:rsidRDefault="00777CEA" w:rsidP="00777CEA">
      <w:pPr>
        <w:pStyle w:val="NoSpacing"/>
        <w:jc w:val="center"/>
        <w:rPr>
          <w:b/>
        </w:rPr>
      </w:pPr>
      <w:r w:rsidRPr="00777CEA">
        <w:rPr>
          <w:b/>
        </w:rPr>
        <w:t>Yatırımlara İlişkin:</w:t>
      </w:r>
    </w:p>
    <w:p w:rsidR="00744535" w:rsidRDefault="00777CEA" w:rsidP="00777CEA">
      <w:pPr>
        <w:pStyle w:val="NoSpacing"/>
        <w:jc w:val="center"/>
      </w:pPr>
      <w:r>
        <w:t xml:space="preserve"> </w:t>
      </w:r>
      <w:hyperlink r:id="rId24" w:history="1">
        <w:r w:rsidRPr="0051352E">
          <w:rPr>
            <w:rStyle w:val="Hyperlink"/>
          </w:rPr>
          <w:t>http://www.investmentkenya.com/</w:t>
        </w:r>
      </w:hyperlink>
    </w:p>
    <w:p w:rsidR="00777CEA" w:rsidRPr="00744535" w:rsidRDefault="00777CEA" w:rsidP="00777CEA">
      <w:pPr>
        <w:pStyle w:val="NoSpacing"/>
        <w:jc w:val="center"/>
      </w:pPr>
    </w:p>
    <w:p w:rsidR="00777CEA" w:rsidRPr="00777CEA" w:rsidRDefault="00777CEA" w:rsidP="00777CEA">
      <w:pPr>
        <w:pStyle w:val="NoSpacing"/>
        <w:jc w:val="center"/>
        <w:rPr>
          <w:b/>
        </w:rPr>
      </w:pPr>
      <w:r w:rsidRPr="00777CEA">
        <w:rPr>
          <w:b/>
        </w:rPr>
        <w:t xml:space="preserve">Elektrik Kurumları: </w:t>
      </w:r>
    </w:p>
    <w:p w:rsidR="00744535" w:rsidRDefault="00B45657" w:rsidP="00777CEA">
      <w:pPr>
        <w:pStyle w:val="NoSpacing"/>
        <w:jc w:val="center"/>
      </w:pPr>
      <w:hyperlink r:id="rId25" w:history="1">
        <w:r w:rsidR="00777CEA" w:rsidRPr="0051352E">
          <w:rPr>
            <w:rStyle w:val="Hyperlink"/>
          </w:rPr>
          <w:t>http://www.ketraco.co.ke/</w:t>
        </w:r>
      </w:hyperlink>
    </w:p>
    <w:p w:rsidR="00744535" w:rsidRDefault="00B45657" w:rsidP="00777CEA">
      <w:pPr>
        <w:pStyle w:val="NoSpacing"/>
        <w:jc w:val="center"/>
      </w:pPr>
      <w:hyperlink r:id="rId26" w:history="1">
        <w:r w:rsidR="00777CEA" w:rsidRPr="0051352E">
          <w:rPr>
            <w:rStyle w:val="Hyperlink"/>
          </w:rPr>
          <w:t>http://www.kengen.co.ke/</w:t>
        </w:r>
      </w:hyperlink>
    </w:p>
    <w:p w:rsidR="00744535" w:rsidRDefault="00B45657" w:rsidP="00777CEA">
      <w:pPr>
        <w:pStyle w:val="NoSpacing"/>
        <w:jc w:val="center"/>
      </w:pPr>
      <w:hyperlink r:id="rId27" w:history="1">
        <w:r w:rsidR="00777CEA" w:rsidRPr="0051352E">
          <w:rPr>
            <w:rStyle w:val="Hyperlink"/>
          </w:rPr>
          <w:t>http://www.erc.go.ke/</w:t>
        </w:r>
      </w:hyperlink>
    </w:p>
    <w:p w:rsidR="00777CEA" w:rsidRPr="00744535" w:rsidRDefault="00777CEA" w:rsidP="00777CEA">
      <w:pPr>
        <w:pStyle w:val="NoSpacing"/>
        <w:jc w:val="center"/>
      </w:pPr>
    </w:p>
    <w:p w:rsidR="00777CEA" w:rsidRPr="00777CEA" w:rsidRDefault="00777CEA" w:rsidP="00777CEA">
      <w:pPr>
        <w:pStyle w:val="NoSpacing"/>
        <w:jc w:val="center"/>
        <w:rPr>
          <w:b/>
        </w:rPr>
      </w:pPr>
      <w:r w:rsidRPr="00777CEA">
        <w:rPr>
          <w:b/>
        </w:rPr>
        <w:t>Eyaletler:</w:t>
      </w:r>
    </w:p>
    <w:p w:rsidR="00744535" w:rsidRDefault="00777CEA" w:rsidP="00777CEA">
      <w:pPr>
        <w:pStyle w:val="NoSpacing"/>
        <w:jc w:val="center"/>
      </w:pPr>
      <w:r>
        <w:t xml:space="preserve"> </w:t>
      </w:r>
      <w:hyperlink r:id="rId28" w:history="1">
        <w:r w:rsidRPr="0051352E">
          <w:rPr>
            <w:rStyle w:val="Hyperlink"/>
          </w:rPr>
          <w:t>https://www.opendata.go.ke/facet/counties</w:t>
        </w:r>
      </w:hyperlink>
    </w:p>
    <w:p w:rsidR="00777CEA" w:rsidRPr="00744535" w:rsidRDefault="00777CEA" w:rsidP="00777CEA">
      <w:pPr>
        <w:pStyle w:val="NoSpacing"/>
        <w:jc w:val="center"/>
      </w:pPr>
    </w:p>
    <w:p w:rsidR="00777CEA" w:rsidRDefault="00777CEA" w:rsidP="00777CEA">
      <w:pPr>
        <w:pStyle w:val="NoSpacing"/>
        <w:jc w:val="center"/>
      </w:pPr>
      <w:r w:rsidRPr="00777CEA">
        <w:rPr>
          <w:b/>
        </w:rPr>
        <w:t>Bakanlıklar</w:t>
      </w:r>
      <w:r>
        <w:t xml:space="preserve">: </w:t>
      </w:r>
    </w:p>
    <w:p w:rsidR="00777CEA" w:rsidRPr="00CF29DB" w:rsidRDefault="00B45657" w:rsidP="00777CEA">
      <w:pPr>
        <w:pStyle w:val="NoSpacing"/>
        <w:jc w:val="center"/>
      </w:pPr>
      <w:hyperlink r:id="rId29" w:history="1">
        <w:r w:rsidR="00777CEA" w:rsidRPr="0051352E">
          <w:rPr>
            <w:rStyle w:val="Hyperlink"/>
          </w:rPr>
          <w:t>http://www.information.go.ke/?p=591</w:t>
        </w:r>
      </w:hyperlink>
    </w:p>
    <w:sectPr w:rsidR="00777CEA" w:rsidRPr="00CF29DB" w:rsidSect="00DB145B">
      <w:footerReference w:type="default" r:id="rId3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399" w:rsidRDefault="00880399" w:rsidP="00D772C3">
      <w:pPr>
        <w:spacing w:after="0" w:line="240" w:lineRule="auto"/>
      </w:pPr>
      <w:r>
        <w:separator/>
      </w:r>
    </w:p>
  </w:endnote>
  <w:endnote w:type="continuationSeparator" w:id="0">
    <w:p w:rsidR="00880399" w:rsidRDefault="00880399" w:rsidP="00D77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1063702"/>
      <w:docPartObj>
        <w:docPartGallery w:val="Page Numbers (Bottom of Page)"/>
        <w:docPartUnique/>
      </w:docPartObj>
    </w:sdtPr>
    <w:sdtEndPr>
      <w:rPr>
        <w:noProof/>
      </w:rPr>
    </w:sdtEndPr>
    <w:sdtContent>
      <w:p w:rsidR="00880399" w:rsidRDefault="00880399">
        <w:pPr>
          <w:pStyle w:val="Footer"/>
          <w:jc w:val="right"/>
        </w:pPr>
        <w:r>
          <w:fldChar w:fldCharType="begin"/>
        </w:r>
        <w:r>
          <w:instrText xml:space="preserve"> PAGE   \* MERGEFORMAT </w:instrText>
        </w:r>
        <w:r>
          <w:fldChar w:fldCharType="separate"/>
        </w:r>
        <w:r w:rsidR="00B45657">
          <w:rPr>
            <w:noProof/>
          </w:rPr>
          <w:t>1</w:t>
        </w:r>
        <w:r>
          <w:rPr>
            <w:noProof/>
          </w:rPr>
          <w:fldChar w:fldCharType="end"/>
        </w:r>
      </w:p>
    </w:sdtContent>
  </w:sdt>
  <w:p w:rsidR="00880399" w:rsidRDefault="008803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399" w:rsidRDefault="00880399" w:rsidP="00D772C3">
      <w:pPr>
        <w:spacing w:after="0" w:line="240" w:lineRule="auto"/>
      </w:pPr>
      <w:r>
        <w:separator/>
      </w:r>
    </w:p>
  </w:footnote>
  <w:footnote w:type="continuationSeparator" w:id="0">
    <w:p w:rsidR="00880399" w:rsidRDefault="00880399" w:rsidP="00D772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11297"/>
    <w:multiLevelType w:val="hybridMultilevel"/>
    <w:tmpl w:val="BD26CD5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160F6016"/>
    <w:multiLevelType w:val="hybridMultilevel"/>
    <w:tmpl w:val="8684D592"/>
    <w:lvl w:ilvl="0" w:tplc="041F0001">
      <w:start w:val="1"/>
      <w:numFmt w:val="bullet"/>
      <w:lvlText w:val=""/>
      <w:lvlJc w:val="left"/>
      <w:pPr>
        <w:ind w:left="1440" w:hanging="360"/>
      </w:pPr>
      <w:rPr>
        <w:rFonts w:ascii="Symbol" w:hAnsi="Symbol" w:hint="default"/>
      </w:rPr>
    </w:lvl>
    <w:lvl w:ilvl="1" w:tplc="C68A21A4">
      <w:numFmt w:val="bullet"/>
      <w:lvlText w:val="-"/>
      <w:lvlJc w:val="left"/>
      <w:pPr>
        <w:ind w:left="2160" w:hanging="360"/>
      </w:pPr>
      <w:rPr>
        <w:rFonts w:ascii="Calibri" w:eastAsia="Calibri" w:hAnsi="Calibri" w:cs="Times New Roman" w:hint="default"/>
        <w:b w:val="0"/>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21160644"/>
    <w:multiLevelType w:val="hybridMultilevel"/>
    <w:tmpl w:val="369A375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29223FDB"/>
    <w:multiLevelType w:val="hybridMultilevel"/>
    <w:tmpl w:val="A70E5B40"/>
    <w:lvl w:ilvl="0" w:tplc="08888232">
      <w:start w:val="1"/>
      <w:numFmt w:val="decimal"/>
      <w:lvlText w:val="%1."/>
      <w:lvlJc w:val="left"/>
      <w:pPr>
        <w:tabs>
          <w:tab w:val="num" w:pos="720"/>
        </w:tabs>
        <w:ind w:left="720" w:hanging="360"/>
      </w:pPr>
      <w:rPr>
        <w:b/>
      </w:rPr>
    </w:lvl>
    <w:lvl w:ilvl="1" w:tplc="041F000F">
      <w:start w:val="1"/>
      <w:numFmt w:val="decimal"/>
      <w:lvlText w:val="%2."/>
      <w:lvlJc w:val="left"/>
      <w:pPr>
        <w:tabs>
          <w:tab w:val="num" w:pos="1440"/>
        </w:tabs>
        <w:ind w:left="1440" w:hanging="360"/>
      </w:pPr>
      <w:rPr>
        <w:b/>
      </w:rPr>
    </w:lvl>
    <w:lvl w:ilvl="2" w:tplc="041F0001">
      <w:start w:val="1"/>
      <w:numFmt w:val="bullet"/>
      <w:lvlText w:val=""/>
      <w:lvlJc w:val="left"/>
      <w:pPr>
        <w:tabs>
          <w:tab w:val="num" w:pos="2340"/>
        </w:tabs>
        <w:ind w:left="2340" w:hanging="360"/>
      </w:pPr>
      <w:rPr>
        <w:rFonts w:ascii="Symbol" w:hAnsi="Symbol" w:hint="default"/>
        <w:b/>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402F7D52"/>
    <w:multiLevelType w:val="hybridMultilevel"/>
    <w:tmpl w:val="05A015E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nsid w:val="585E5116"/>
    <w:multiLevelType w:val="hybridMultilevel"/>
    <w:tmpl w:val="74C630DC"/>
    <w:lvl w:ilvl="0" w:tplc="08888232">
      <w:start w:val="1"/>
      <w:numFmt w:val="decimal"/>
      <w:lvlText w:val="%1."/>
      <w:lvlJc w:val="left"/>
      <w:pPr>
        <w:tabs>
          <w:tab w:val="num" w:pos="720"/>
        </w:tabs>
        <w:ind w:left="720" w:hanging="360"/>
      </w:pPr>
      <w:rPr>
        <w:b/>
      </w:rPr>
    </w:lvl>
    <w:lvl w:ilvl="1" w:tplc="041F0001">
      <w:start w:val="1"/>
      <w:numFmt w:val="bullet"/>
      <w:lvlText w:val=""/>
      <w:lvlJc w:val="left"/>
      <w:pPr>
        <w:tabs>
          <w:tab w:val="num" w:pos="1440"/>
        </w:tabs>
        <w:ind w:left="1440" w:hanging="360"/>
      </w:pPr>
      <w:rPr>
        <w:rFonts w:ascii="Symbol" w:hAnsi="Symbol" w:hint="default"/>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5CB60CA1"/>
    <w:multiLevelType w:val="hybridMultilevel"/>
    <w:tmpl w:val="76C4A1B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nsid w:val="5E5A6986"/>
    <w:multiLevelType w:val="hybridMultilevel"/>
    <w:tmpl w:val="EF3C887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689A2134"/>
    <w:multiLevelType w:val="hybridMultilevel"/>
    <w:tmpl w:val="C36CB37E"/>
    <w:lvl w:ilvl="0" w:tplc="041F0019">
      <w:start w:val="1"/>
      <w:numFmt w:val="lowerLetter"/>
      <w:lvlText w:val="%1."/>
      <w:lvlJc w:val="left"/>
      <w:pPr>
        <w:ind w:left="720" w:hanging="360"/>
      </w:pPr>
      <w:rPr>
        <w:rFonts w:hint="default"/>
      </w:rPr>
    </w:lvl>
    <w:lvl w:ilvl="1" w:tplc="041F0001">
      <w:start w:val="1"/>
      <w:numFmt w:val="bullet"/>
      <w:lvlText w:val=""/>
      <w:lvlJc w:val="left"/>
      <w:pPr>
        <w:tabs>
          <w:tab w:val="num" w:pos="1440"/>
        </w:tabs>
        <w:ind w:left="1440" w:hanging="360"/>
      </w:pPr>
      <w:rPr>
        <w:rFonts w:ascii="Symbol" w:hAnsi="Symbol" w:hint="default"/>
      </w:rPr>
    </w:lvl>
    <w:lvl w:ilvl="2" w:tplc="041F000F">
      <w:start w:val="1"/>
      <w:numFmt w:val="decimal"/>
      <w:lvlText w:val="%3."/>
      <w:lvlJc w:val="left"/>
      <w:pPr>
        <w:tabs>
          <w:tab w:val="num" w:pos="2340"/>
        </w:tabs>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5"/>
  </w:num>
  <w:num w:numId="5">
    <w:abstractNumId w:val="7"/>
  </w:num>
  <w:num w:numId="6">
    <w:abstractNumId w:val="1"/>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DC4"/>
    <w:rsid w:val="00012208"/>
    <w:rsid w:val="00013F29"/>
    <w:rsid w:val="0001467B"/>
    <w:rsid w:val="000218AB"/>
    <w:rsid w:val="00070759"/>
    <w:rsid w:val="000C133A"/>
    <w:rsid w:val="000C4816"/>
    <w:rsid w:val="000C78A7"/>
    <w:rsid w:val="00166EAD"/>
    <w:rsid w:val="001A041E"/>
    <w:rsid w:val="001A36A8"/>
    <w:rsid w:val="002464DA"/>
    <w:rsid w:val="00251235"/>
    <w:rsid w:val="00276023"/>
    <w:rsid w:val="003152ED"/>
    <w:rsid w:val="00323127"/>
    <w:rsid w:val="00335974"/>
    <w:rsid w:val="00337577"/>
    <w:rsid w:val="00337580"/>
    <w:rsid w:val="003415F1"/>
    <w:rsid w:val="00347BE7"/>
    <w:rsid w:val="00356A9F"/>
    <w:rsid w:val="00365C4D"/>
    <w:rsid w:val="00375767"/>
    <w:rsid w:val="00390E33"/>
    <w:rsid w:val="003C480D"/>
    <w:rsid w:val="003D3C3A"/>
    <w:rsid w:val="003F2B53"/>
    <w:rsid w:val="00412195"/>
    <w:rsid w:val="00413092"/>
    <w:rsid w:val="004208F8"/>
    <w:rsid w:val="00442553"/>
    <w:rsid w:val="00472C55"/>
    <w:rsid w:val="00490DB9"/>
    <w:rsid w:val="004C12DB"/>
    <w:rsid w:val="004E7C09"/>
    <w:rsid w:val="00581076"/>
    <w:rsid w:val="005862B2"/>
    <w:rsid w:val="005F48DE"/>
    <w:rsid w:val="006107A8"/>
    <w:rsid w:val="006118F3"/>
    <w:rsid w:val="00613AA0"/>
    <w:rsid w:val="00672581"/>
    <w:rsid w:val="006A20FD"/>
    <w:rsid w:val="006B3635"/>
    <w:rsid w:val="006D080B"/>
    <w:rsid w:val="00724482"/>
    <w:rsid w:val="00735F26"/>
    <w:rsid w:val="007435FD"/>
    <w:rsid w:val="00744535"/>
    <w:rsid w:val="00777CEA"/>
    <w:rsid w:val="00781D2B"/>
    <w:rsid w:val="0078611F"/>
    <w:rsid w:val="00797434"/>
    <w:rsid w:val="007A742C"/>
    <w:rsid w:val="00837CE6"/>
    <w:rsid w:val="00880399"/>
    <w:rsid w:val="00896295"/>
    <w:rsid w:val="008D4070"/>
    <w:rsid w:val="008E748D"/>
    <w:rsid w:val="0090787B"/>
    <w:rsid w:val="00927395"/>
    <w:rsid w:val="00937A2B"/>
    <w:rsid w:val="00976F30"/>
    <w:rsid w:val="0099341B"/>
    <w:rsid w:val="009A4D92"/>
    <w:rsid w:val="009E26A9"/>
    <w:rsid w:val="00A121BB"/>
    <w:rsid w:val="00A17E9E"/>
    <w:rsid w:val="00A42097"/>
    <w:rsid w:val="00A9643C"/>
    <w:rsid w:val="00AC6058"/>
    <w:rsid w:val="00AD024C"/>
    <w:rsid w:val="00AE0DF3"/>
    <w:rsid w:val="00B03F3E"/>
    <w:rsid w:val="00B1006E"/>
    <w:rsid w:val="00B31054"/>
    <w:rsid w:val="00B45657"/>
    <w:rsid w:val="00BB6723"/>
    <w:rsid w:val="00BE37C9"/>
    <w:rsid w:val="00BF3D9B"/>
    <w:rsid w:val="00C15286"/>
    <w:rsid w:val="00C21A47"/>
    <w:rsid w:val="00C2700F"/>
    <w:rsid w:val="00C7417C"/>
    <w:rsid w:val="00C97893"/>
    <w:rsid w:val="00CA4A34"/>
    <w:rsid w:val="00CF29DB"/>
    <w:rsid w:val="00CF7F44"/>
    <w:rsid w:val="00D00EE9"/>
    <w:rsid w:val="00D559BB"/>
    <w:rsid w:val="00D60A07"/>
    <w:rsid w:val="00D66755"/>
    <w:rsid w:val="00D72E10"/>
    <w:rsid w:val="00D772C3"/>
    <w:rsid w:val="00D924A5"/>
    <w:rsid w:val="00DB145B"/>
    <w:rsid w:val="00DC1487"/>
    <w:rsid w:val="00DD2059"/>
    <w:rsid w:val="00DF57ED"/>
    <w:rsid w:val="00E16869"/>
    <w:rsid w:val="00E57257"/>
    <w:rsid w:val="00E620E8"/>
    <w:rsid w:val="00E6388C"/>
    <w:rsid w:val="00E85D34"/>
    <w:rsid w:val="00EC319D"/>
    <w:rsid w:val="00EE3F71"/>
    <w:rsid w:val="00EF00B2"/>
    <w:rsid w:val="00F04001"/>
    <w:rsid w:val="00F04B31"/>
    <w:rsid w:val="00F13F83"/>
    <w:rsid w:val="00F411EF"/>
    <w:rsid w:val="00F7260D"/>
    <w:rsid w:val="00FC5E56"/>
    <w:rsid w:val="00FD2DE9"/>
    <w:rsid w:val="00FE7D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14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76F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21A4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2312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9"/>
    <w:qFormat/>
    <w:rsid w:val="00D924A5"/>
    <w:pPr>
      <w:keepNext/>
      <w:spacing w:after="0" w:line="240" w:lineRule="auto"/>
      <w:jc w:val="center"/>
      <w:outlineLvl w:val="7"/>
    </w:pPr>
    <w:rPr>
      <w:rFonts w:ascii="Times New Roman" w:eastAsia="Times New Roman" w:hAnsi="Times New Roman"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C6058"/>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uiPriority w:val="99"/>
    <w:rsid w:val="00AC6058"/>
    <w:rPr>
      <w:rFonts w:ascii="Arial" w:eastAsia="Times New Roman" w:hAnsi="Arial" w:cs="Times New Roman"/>
      <w:sz w:val="24"/>
      <w:szCs w:val="20"/>
    </w:rPr>
  </w:style>
  <w:style w:type="paragraph" w:styleId="BodyText2">
    <w:name w:val="Body Text 2"/>
    <w:basedOn w:val="Normal"/>
    <w:link w:val="BodyText2Char"/>
    <w:uiPriority w:val="99"/>
    <w:semiHidden/>
    <w:unhideWhenUsed/>
    <w:rsid w:val="003F2B53"/>
    <w:pPr>
      <w:spacing w:after="120" w:line="480" w:lineRule="auto"/>
    </w:pPr>
  </w:style>
  <w:style w:type="character" w:customStyle="1" w:styleId="BodyText2Char">
    <w:name w:val="Body Text 2 Char"/>
    <w:basedOn w:val="DefaultParagraphFont"/>
    <w:link w:val="BodyText2"/>
    <w:uiPriority w:val="99"/>
    <w:semiHidden/>
    <w:rsid w:val="003F2B53"/>
  </w:style>
  <w:style w:type="paragraph" w:styleId="ListParagraph">
    <w:name w:val="List Paragraph"/>
    <w:basedOn w:val="Normal"/>
    <w:uiPriority w:val="34"/>
    <w:qFormat/>
    <w:rsid w:val="00EE3F71"/>
    <w:pPr>
      <w:ind w:left="720"/>
      <w:contextualSpacing/>
    </w:pPr>
    <w:rPr>
      <w:rFonts w:ascii="Calibri" w:eastAsia="Calibri" w:hAnsi="Calibri" w:cs="Times New Roman"/>
    </w:rPr>
  </w:style>
  <w:style w:type="paragraph" w:customStyle="1" w:styleId="Normal0">
    <w:name w:val="[Normal]"/>
    <w:rsid w:val="00EE3F71"/>
    <w:pPr>
      <w:autoSpaceDE w:val="0"/>
      <w:autoSpaceDN w:val="0"/>
      <w:adjustRightInd w:val="0"/>
      <w:spacing w:after="0" w:line="240" w:lineRule="auto"/>
    </w:pPr>
    <w:rPr>
      <w:rFonts w:ascii="Arial" w:eastAsia="Times New Roman" w:hAnsi="Arial" w:cs="Arial"/>
      <w:sz w:val="24"/>
      <w:szCs w:val="24"/>
      <w:lang w:eastAsia="tr-TR"/>
    </w:rPr>
  </w:style>
  <w:style w:type="character" w:customStyle="1" w:styleId="Heading8Char">
    <w:name w:val="Heading 8 Char"/>
    <w:basedOn w:val="DefaultParagraphFont"/>
    <w:link w:val="Heading8"/>
    <w:uiPriority w:val="99"/>
    <w:rsid w:val="00D924A5"/>
    <w:rPr>
      <w:rFonts w:ascii="Times New Roman" w:eastAsia="Times New Roman" w:hAnsi="Times New Roman" w:cs="Times New Roman"/>
      <w:b/>
      <w:i/>
      <w:sz w:val="24"/>
      <w:szCs w:val="20"/>
    </w:rPr>
  </w:style>
  <w:style w:type="paragraph" w:styleId="NormalWeb">
    <w:name w:val="Normal (Web)"/>
    <w:basedOn w:val="Normal"/>
    <w:uiPriority w:val="99"/>
    <w:unhideWhenUsed/>
    <w:rsid w:val="00A4209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937A2B"/>
    <w:rPr>
      <w:color w:val="0000FF" w:themeColor="hyperlink"/>
      <w:u w:val="single"/>
    </w:rPr>
  </w:style>
  <w:style w:type="paragraph" w:styleId="Header">
    <w:name w:val="header"/>
    <w:basedOn w:val="Normal"/>
    <w:link w:val="HeaderChar"/>
    <w:uiPriority w:val="99"/>
    <w:unhideWhenUsed/>
    <w:rsid w:val="00D772C3"/>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72C3"/>
  </w:style>
  <w:style w:type="paragraph" w:styleId="Footer">
    <w:name w:val="footer"/>
    <w:basedOn w:val="Normal"/>
    <w:link w:val="FooterChar"/>
    <w:uiPriority w:val="99"/>
    <w:unhideWhenUsed/>
    <w:rsid w:val="00D772C3"/>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72C3"/>
  </w:style>
  <w:style w:type="table" w:styleId="TableGrid">
    <w:name w:val="Table Grid"/>
    <w:basedOn w:val="TableNormal"/>
    <w:uiPriority w:val="59"/>
    <w:rsid w:val="00D77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B145B"/>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DB145B"/>
    <w:rPr>
      <w:rFonts w:eastAsiaTheme="minorEastAsia"/>
      <w:lang w:val="en-US" w:eastAsia="ja-JP"/>
    </w:rPr>
  </w:style>
  <w:style w:type="paragraph" w:styleId="BalloonText">
    <w:name w:val="Balloon Text"/>
    <w:basedOn w:val="Normal"/>
    <w:link w:val="BalloonTextChar"/>
    <w:uiPriority w:val="99"/>
    <w:semiHidden/>
    <w:unhideWhenUsed/>
    <w:rsid w:val="00DB1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45B"/>
    <w:rPr>
      <w:rFonts w:ascii="Tahoma" w:hAnsi="Tahoma" w:cs="Tahoma"/>
      <w:sz w:val="16"/>
      <w:szCs w:val="16"/>
    </w:rPr>
  </w:style>
  <w:style w:type="character" w:customStyle="1" w:styleId="Heading1Char">
    <w:name w:val="Heading 1 Char"/>
    <w:basedOn w:val="DefaultParagraphFont"/>
    <w:link w:val="Heading1"/>
    <w:uiPriority w:val="9"/>
    <w:rsid w:val="00DB145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76F30"/>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976F30"/>
    <w:pPr>
      <w:outlineLvl w:val="9"/>
    </w:pPr>
    <w:rPr>
      <w:lang w:val="en-US" w:eastAsia="ja-JP"/>
    </w:rPr>
  </w:style>
  <w:style w:type="paragraph" w:styleId="TOC1">
    <w:name w:val="toc 1"/>
    <w:basedOn w:val="Normal"/>
    <w:next w:val="Normal"/>
    <w:autoRedefine/>
    <w:uiPriority w:val="39"/>
    <w:unhideWhenUsed/>
    <w:rsid w:val="00976F30"/>
    <w:pPr>
      <w:spacing w:after="100"/>
    </w:pPr>
  </w:style>
  <w:style w:type="paragraph" w:styleId="TOC2">
    <w:name w:val="toc 2"/>
    <w:basedOn w:val="Normal"/>
    <w:next w:val="Normal"/>
    <w:autoRedefine/>
    <w:uiPriority w:val="39"/>
    <w:unhideWhenUsed/>
    <w:rsid w:val="00976F30"/>
    <w:pPr>
      <w:spacing w:after="100"/>
      <w:ind w:left="220"/>
    </w:pPr>
  </w:style>
  <w:style w:type="paragraph" w:styleId="Title">
    <w:name w:val="Title"/>
    <w:basedOn w:val="Normal"/>
    <w:next w:val="Normal"/>
    <w:link w:val="TitleChar"/>
    <w:uiPriority w:val="10"/>
    <w:qFormat/>
    <w:rsid w:val="00976F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76F30"/>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C21A47"/>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F04001"/>
    <w:pPr>
      <w:spacing w:after="100"/>
      <w:ind w:left="440"/>
    </w:pPr>
  </w:style>
  <w:style w:type="paragraph" w:styleId="Quote">
    <w:name w:val="Quote"/>
    <w:basedOn w:val="Normal"/>
    <w:next w:val="Normal"/>
    <w:link w:val="QuoteChar"/>
    <w:uiPriority w:val="29"/>
    <w:qFormat/>
    <w:rsid w:val="00166EAD"/>
    <w:rPr>
      <w:i/>
      <w:iCs/>
      <w:color w:val="000000" w:themeColor="text1"/>
    </w:rPr>
  </w:style>
  <w:style w:type="character" w:customStyle="1" w:styleId="QuoteChar">
    <w:name w:val="Quote Char"/>
    <w:basedOn w:val="DefaultParagraphFont"/>
    <w:link w:val="Quote"/>
    <w:uiPriority w:val="29"/>
    <w:rsid w:val="00166EAD"/>
    <w:rPr>
      <w:i/>
      <w:iCs/>
      <w:color w:val="000000" w:themeColor="text1"/>
    </w:rPr>
  </w:style>
  <w:style w:type="table" w:styleId="LightShading-Accent1">
    <w:name w:val="Light Shading Accent 1"/>
    <w:basedOn w:val="TableNormal"/>
    <w:uiPriority w:val="60"/>
    <w:rsid w:val="0079743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ong">
    <w:name w:val="Strong"/>
    <w:uiPriority w:val="22"/>
    <w:qFormat/>
    <w:rsid w:val="00323127"/>
    <w:rPr>
      <w:b/>
      <w:bCs/>
    </w:rPr>
  </w:style>
  <w:style w:type="character" w:customStyle="1" w:styleId="Heading4Char">
    <w:name w:val="Heading 4 Char"/>
    <w:basedOn w:val="DefaultParagraphFont"/>
    <w:link w:val="Heading4"/>
    <w:uiPriority w:val="9"/>
    <w:rsid w:val="00323127"/>
    <w:rPr>
      <w:rFonts w:asciiTheme="majorHAnsi" w:eastAsiaTheme="majorEastAsia" w:hAnsiTheme="majorHAnsi" w:cstheme="majorBidi"/>
      <w:b/>
      <w:bCs/>
      <w:i/>
      <w:iCs/>
      <w:color w:val="4F81BD" w:themeColor="accent1"/>
    </w:rPr>
  </w:style>
  <w:style w:type="table" w:styleId="LightShading">
    <w:name w:val="Light Shading"/>
    <w:basedOn w:val="TableNormal"/>
    <w:uiPriority w:val="60"/>
    <w:rsid w:val="00C1528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14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76F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21A4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2312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9"/>
    <w:qFormat/>
    <w:rsid w:val="00D924A5"/>
    <w:pPr>
      <w:keepNext/>
      <w:spacing w:after="0" w:line="240" w:lineRule="auto"/>
      <w:jc w:val="center"/>
      <w:outlineLvl w:val="7"/>
    </w:pPr>
    <w:rPr>
      <w:rFonts w:ascii="Times New Roman" w:eastAsia="Times New Roman" w:hAnsi="Times New Roman"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C6058"/>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uiPriority w:val="99"/>
    <w:rsid w:val="00AC6058"/>
    <w:rPr>
      <w:rFonts w:ascii="Arial" w:eastAsia="Times New Roman" w:hAnsi="Arial" w:cs="Times New Roman"/>
      <w:sz w:val="24"/>
      <w:szCs w:val="20"/>
    </w:rPr>
  </w:style>
  <w:style w:type="paragraph" w:styleId="BodyText2">
    <w:name w:val="Body Text 2"/>
    <w:basedOn w:val="Normal"/>
    <w:link w:val="BodyText2Char"/>
    <w:uiPriority w:val="99"/>
    <w:semiHidden/>
    <w:unhideWhenUsed/>
    <w:rsid w:val="003F2B53"/>
    <w:pPr>
      <w:spacing w:after="120" w:line="480" w:lineRule="auto"/>
    </w:pPr>
  </w:style>
  <w:style w:type="character" w:customStyle="1" w:styleId="BodyText2Char">
    <w:name w:val="Body Text 2 Char"/>
    <w:basedOn w:val="DefaultParagraphFont"/>
    <w:link w:val="BodyText2"/>
    <w:uiPriority w:val="99"/>
    <w:semiHidden/>
    <w:rsid w:val="003F2B53"/>
  </w:style>
  <w:style w:type="paragraph" w:styleId="ListParagraph">
    <w:name w:val="List Paragraph"/>
    <w:basedOn w:val="Normal"/>
    <w:uiPriority w:val="34"/>
    <w:qFormat/>
    <w:rsid w:val="00EE3F71"/>
    <w:pPr>
      <w:ind w:left="720"/>
      <w:contextualSpacing/>
    </w:pPr>
    <w:rPr>
      <w:rFonts w:ascii="Calibri" w:eastAsia="Calibri" w:hAnsi="Calibri" w:cs="Times New Roman"/>
    </w:rPr>
  </w:style>
  <w:style w:type="paragraph" w:customStyle="1" w:styleId="Normal0">
    <w:name w:val="[Normal]"/>
    <w:rsid w:val="00EE3F71"/>
    <w:pPr>
      <w:autoSpaceDE w:val="0"/>
      <w:autoSpaceDN w:val="0"/>
      <w:adjustRightInd w:val="0"/>
      <w:spacing w:after="0" w:line="240" w:lineRule="auto"/>
    </w:pPr>
    <w:rPr>
      <w:rFonts w:ascii="Arial" w:eastAsia="Times New Roman" w:hAnsi="Arial" w:cs="Arial"/>
      <w:sz w:val="24"/>
      <w:szCs w:val="24"/>
      <w:lang w:eastAsia="tr-TR"/>
    </w:rPr>
  </w:style>
  <w:style w:type="character" w:customStyle="1" w:styleId="Heading8Char">
    <w:name w:val="Heading 8 Char"/>
    <w:basedOn w:val="DefaultParagraphFont"/>
    <w:link w:val="Heading8"/>
    <w:uiPriority w:val="99"/>
    <w:rsid w:val="00D924A5"/>
    <w:rPr>
      <w:rFonts w:ascii="Times New Roman" w:eastAsia="Times New Roman" w:hAnsi="Times New Roman" w:cs="Times New Roman"/>
      <w:b/>
      <w:i/>
      <w:sz w:val="24"/>
      <w:szCs w:val="20"/>
    </w:rPr>
  </w:style>
  <w:style w:type="paragraph" w:styleId="NormalWeb">
    <w:name w:val="Normal (Web)"/>
    <w:basedOn w:val="Normal"/>
    <w:uiPriority w:val="99"/>
    <w:unhideWhenUsed/>
    <w:rsid w:val="00A4209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937A2B"/>
    <w:rPr>
      <w:color w:val="0000FF" w:themeColor="hyperlink"/>
      <w:u w:val="single"/>
    </w:rPr>
  </w:style>
  <w:style w:type="paragraph" w:styleId="Header">
    <w:name w:val="header"/>
    <w:basedOn w:val="Normal"/>
    <w:link w:val="HeaderChar"/>
    <w:uiPriority w:val="99"/>
    <w:unhideWhenUsed/>
    <w:rsid w:val="00D772C3"/>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72C3"/>
  </w:style>
  <w:style w:type="paragraph" w:styleId="Footer">
    <w:name w:val="footer"/>
    <w:basedOn w:val="Normal"/>
    <w:link w:val="FooterChar"/>
    <w:uiPriority w:val="99"/>
    <w:unhideWhenUsed/>
    <w:rsid w:val="00D772C3"/>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72C3"/>
  </w:style>
  <w:style w:type="table" w:styleId="TableGrid">
    <w:name w:val="Table Grid"/>
    <w:basedOn w:val="TableNormal"/>
    <w:uiPriority w:val="59"/>
    <w:rsid w:val="00D77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B145B"/>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DB145B"/>
    <w:rPr>
      <w:rFonts w:eastAsiaTheme="minorEastAsia"/>
      <w:lang w:val="en-US" w:eastAsia="ja-JP"/>
    </w:rPr>
  </w:style>
  <w:style w:type="paragraph" w:styleId="BalloonText">
    <w:name w:val="Balloon Text"/>
    <w:basedOn w:val="Normal"/>
    <w:link w:val="BalloonTextChar"/>
    <w:uiPriority w:val="99"/>
    <w:semiHidden/>
    <w:unhideWhenUsed/>
    <w:rsid w:val="00DB1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45B"/>
    <w:rPr>
      <w:rFonts w:ascii="Tahoma" w:hAnsi="Tahoma" w:cs="Tahoma"/>
      <w:sz w:val="16"/>
      <w:szCs w:val="16"/>
    </w:rPr>
  </w:style>
  <w:style w:type="character" w:customStyle="1" w:styleId="Heading1Char">
    <w:name w:val="Heading 1 Char"/>
    <w:basedOn w:val="DefaultParagraphFont"/>
    <w:link w:val="Heading1"/>
    <w:uiPriority w:val="9"/>
    <w:rsid w:val="00DB145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76F30"/>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976F30"/>
    <w:pPr>
      <w:outlineLvl w:val="9"/>
    </w:pPr>
    <w:rPr>
      <w:lang w:val="en-US" w:eastAsia="ja-JP"/>
    </w:rPr>
  </w:style>
  <w:style w:type="paragraph" w:styleId="TOC1">
    <w:name w:val="toc 1"/>
    <w:basedOn w:val="Normal"/>
    <w:next w:val="Normal"/>
    <w:autoRedefine/>
    <w:uiPriority w:val="39"/>
    <w:unhideWhenUsed/>
    <w:rsid w:val="00976F30"/>
    <w:pPr>
      <w:spacing w:after="100"/>
    </w:pPr>
  </w:style>
  <w:style w:type="paragraph" w:styleId="TOC2">
    <w:name w:val="toc 2"/>
    <w:basedOn w:val="Normal"/>
    <w:next w:val="Normal"/>
    <w:autoRedefine/>
    <w:uiPriority w:val="39"/>
    <w:unhideWhenUsed/>
    <w:rsid w:val="00976F30"/>
    <w:pPr>
      <w:spacing w:after="100"/>
      <w:ind w:left="220"/>
    </w:pPr>
  </w:style>
  <w:style w:type="paragraph" w:styleId="Title">
    <w:name w:val="Title"/>
    <w:basedOn w:val="Normal"/>
    <w:next w:val="Normal"/>
    <w:link w:val="TitleChar"/>
    <w:uiPriority w:val="10"/>
    <w:qFormat/>
    <w:rsid w:val="00976F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76F30"/>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C21A47"/>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F04001"/>
    <w:pPr>
      <w:spacing w:after="100"/>
      <w:ind w:left="440"/>
    </w:pPr>
  </w:style>
  <w:style w:type="paragraph" w:styleId="Quote">
    <w:name w:val="Quote"/>
    <w:basedOn w:val="Normal"/>
    <w:next w:val="Normal"/>
    <w:link w:val="QuoteChar"/>
    <w:uiPriority w:val="29"/>
    <w:qFormat/>
    <w:rsid w:val="00166EAD"/>
    <w:rPr>
      <w:i/>
      <w:iCs/>
      <w:color w:val="000000" w:themeColor="text1"/>
    </w:rPr>
  </w:style>
  <w:style w:type="character" w:customStyle="1" w:styleId="QuoteChar">
    <w:name w:val="Quote Char"/>
    <w:basedOn w:val="DefaultParagraphFont"/>
    <w:link w:val="Quote"/>
    <w:uiPriority w:val="29"/>
    <w:rsid w:val="00166EAD"/>
    <w:rPr>
      <w:i/>
      <w:iCs/>
      <w:color w:val="000000" w:themeColor="text1"/>
    </w:rPr>
  </w:style>
  <w:style w:type="table" w:styleId="LightShading-Accent1">
    <w:name w:val="Light Shading Accent 1"/>
    <w:basedOn w:val="TableNormal"/>
    <w:uiPriority w:val="60"/>
    <w:rsid w:val="0079743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ong">
    <w:name w:val="Strong"/>
    <w:uiPriority w:val="22"/>
    <w:qFormat/>
    <w:rsid w:val="00323127"/>
    <w:rPr>
      <w:b/>
      <w:bCs/>
    </w:rPr>
  </w:style>
  <w:style w:type="character" w:customStyle="1" w:styleId="Heading4Char">
    <w:name w:val="Heading 4 Char"/>
    <w:basedOn w:val="DefaultParagraphFont"/>
    <w:link w:val="Heading4"/>
    <w:uiPriority w:val="9"/>
    <w:rsid w:val="00323127"/>
    <w:rPr>
      <w:rFonts w:asciiTheme="majorHAnsi" w:eastAsiaTheme="majorEastAsia" w:hAnsiTheme="majorHAnsi" w:cstheme="majorBidi"/>
      <w:b/>
      <w:bCs/>
      <w:i/>
      <w:iCs/>
      <w:color w:val="4F81BD" w:themeColor="accent1"/>
    </w:rPr>
  </w:style>
  <w:style w:type="table" w:styleId="LightShading">
    <w:name w:val="Light Shading"/>
    <w:basedOn w:val="TableNormal"/>
    <w:uiPriority w:val="60"/>
    <w:rsid w:val="00C1528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351100">
      <w:bodyDiv w:val="1"/>
      <w:marLeft w:val="0"/>
      <w:marRight w:val="0"/>
      <w:marTop w:val="0"/>
      <w:marBottom w:val="0"/>
      <w:divBdr>
        <w:top w:val="none" w:sz="0" w:space="0" w:color="auto"/>
        <w:left w:val="none" w:sz="0" w:space="0" w:color="auto"/>
        <w:bottom w:val="none" w:sz="0" w:space="0" w:color="auto"/>
        <w:right w:val="none" w:sz="0" w:space="0" w:color="auto"/>
      </w:divBdr>
    </w:div>
    <w:div w:id="263197550">
      <w:bodyDiv w:val="1"/>
      <w:marLeft w:val="0"/>
      <w:marRight w:val="0"/>
      <w:marTop w:val="0"/>
      <w:marBottom w:val="0"/>
      <w:divBdr>
        <w:top w:val="none" w:sz="0" w:space="0" w:color="auto"/>
        <w:left w:val="none" w:sz="0" w:space="0" w:color="auto"/>
        <w:bottom w:val="none" w:sz="0" w:space="0" w:color="auto"/>
        <w:right w:val="none" w:sz="0" w:space="0" w:color="auto"/>
      </w:divBdr>
    </w:div>
    <w:div w:id="266929925">
      <w:bodyDiv w:val="1"/>
      <w:marLeft w:val="0"/>
      <w:marRight w:val="0"/>
      <w:marTop w:val="0"/>
      <w:marBottom w:val="0"/>
      <w:divBdr>
        <w:top w:val="none" w:sz="0" w:space="0" w:color="auto"/>
        <w:left w:val="none" w:sz="0" w:space="0" w:color="auto"/>
        <w:bottom w:val="none" w:sz="0" w:space="0" w:color="auto"/>
        <w:right w:val="none" w:sz="0" w:space="0" w:color="auto"/>
      </w:divBdr>
    </w:div>
    <w:div w:id="363137843">
      <w:bodyDiv w:val="1"/>
      <w:marLeft w:val="0"/>
      <w:marRight w:val="0"/>
      <w:marTop w:val="0"/>
      <w:marBottom w:val="0"/>
      <w:divBdr>
        <w:top w:val="none" w:sz="0" w:space="0" w:color="auto"/>
        <w:left w:val="none" w:sz="0" w:space="0" w:color="auto"/>
        <w:bottom w:val="none" w:sz="0" w:space="0" w:color="auto"/>
        <w:right w:val="none" w:sz="0" w:space="0" w:color="auto"/>
      </w:divBdr>
    </w:div>
    <w:div w:id="404962991">
      <w:bodyDiv w:val="1"/>
      <w:marLeft w:val="0"/>
      <w:marRight w:val="0"/>
      <w:marTop w:val="0"/>
      <w:marBottom w:val="0"/>
      <w:divBdr>
        <w:top w:val="none" w:sz="0" w:space="0" w:color="auto"/>
        <w:left w:val="none" w:sz="0" w:space="0" w:color="auto"/>
        <w:bottom w:val="none" w:sz="0" w:space="0" w:color="auto"/>
        <w:right w:val="none" w:sz="0" w:space="0" w:color="auto"/>
      </w:divBdr>
    </w:div>
    <w:div w:id="428620322">
      <w:bodyDiv w:val="1"/>
      <w:marLeft w:val="0"/>
      <w:marRight w:val="0"/>
      <w:marTop w:val="0"/>
      <w:marBottom w:val="0"/>
      <w:divBdr>
        <w:top w:val="none" w:sz="0" w:space="0" w:color="auto"/>
        <w:left w:val="none" w:sz="0" w:space="0" w:color="auto"/>
        <w:bottom w:val="none" w:sz="0" w:space="0" w:color="auto"/>
        <w:right w:val="none" w:sz="0" w:space="0" w:color="auto"/>
      </w:divBdr>
    </w:div>
    <w:div w:id="508060928">
      <w:bodyDiv w:val="1"/>
      <w:marLeft w:val="0"/>
      <w:marRight w:val="0"/>
      <w:marTop w:val="0"/>
      <w:marBottom w:val="0"/>
      <w:divBdr>
        <w:top w:val="none" w:sz="0" w:space="0" w:color="auto"/>
        <w:left w:val="none" w:sz="0" w:space="0" w:color="auto"/>
        <w:bottom w:val="none" w:sz="0" w:space="0" w:color="auto"/>
        <w:right w:val="none" w:sz="0" w:space="0" w:color="auto"/>
      </w:divBdr>
    </w:div>
    <w:div w:id="641353800">
      <w:bodyDiv w:val="1"/>
      <w:marLeft w:val="0"/>
      <w:marRight w:val="0"/>
      <w:marTop w:val="0"/>
      <w:marBottom w:val="0"/>
      <w:divBdr>
        <w:top w:val="none" w:sz="0" w:space="0" w:color="auto"/>
        <w:left w:val="none" w:sz="0" w:space="0" w:color="auto"/>
        <w:bottom w:val="none" w:sz="0" w:space="0" w:color="auto"/>
        <w:right w:val="none" w:sz="0" w:space="0" w:color="auto"/>
      </w:divBdr>
    </w:div>
    <w:div w:id="649942735">
      <w:bodyDiv w:val="1"/>
      <w:marLeft w:val="0"/>
      <w:marRight w:val="0"/>
      <w:marTop w:val="0"/>
      <w:marBottom w:val="0"/>
      <w:divBdr>
        <w:top w:val="none" w:sz="0" w:space="0" w:color="auto"/>
        <w:left w:val="none" w:sz="0" w:space="0" w:color="auto"/>
        <w:bottom w:val="none" w:sz="0" w:space="0" w:color="auto"/>
        <w:right w:val="none" w:sz="0" w:space="0" w:color="auto"/>
      </w:divBdr>
    </w:div>
    <w:div w:id="757023372">
      <w:bodyDiv w:val="1"/>
      <w:marLeft w:val="0"/>
      <w:marRight w:val="0"/>
      <w:marTop w:val="0"/>
      <w:marBottom w:val="0"/>
      <w:divBdr>
        <w:top w:val="none" w:sz="0" w:space="0" w:color="auto"/>
        <w:left w:val="none" w:sz="0" w:space="0" w:color="auto"/>
        <w:bottom w:val="none" w:sz="0" w:space="0" w:color="auto"/>
        <w:right w:val="none" w:sz="0" w:space="0" w:color="auto"/>
      </w:divBdr>
    </w:div>
    <w:div w:id="794370766">
      <w:bodyDiv w:val="1"/>
      <w:marLeft w:val="0"/>
      <w:marRight w:val="0"/>
      <w:marTop w:val="0"/>
      <w:marBottom w:val="0"/>
      <w:divBdr>
        <w:top w:val="none" w:sz="0" w:space="0" w:color="auto"/>
        <w:left w:val="none" w:sz="0" w:space="0" w:color="auto"/>
        <w:bottom w:val="none" w:sz="0" w:space="0" w:color="auto"/>
        <w:right w:val="none" w:sz="0" w:space="0" w:color="auto"/>
      </w:divBdr>
      <w:divsChild>
        <w:div w:id="50664423">
          <w:marLeft w:val="0"/>
          <w:marRight w:val="0"/>
          <w:marTop w:val="0"/>
          <w:marBottom w:val="225"/>
          <w:divBdr>
            <w:top w:val="none" w:sz="0" w:space="0" w:color="auto"/>
            <w:left w:val="none" w:sz="0" w:space="0" w:color="auto"/>
            <w:bottom w:val="single" w:sz="6" w:space="8" w:color="000000"/>
            <w:right w:val="none" w:sz="0" w:space="0" w:color="auto"/>
          </w:divBdr>
        </w:div>
      </w:divsChild>
    </w:div>
    <w:div w:id="850681809">
      <w:bodyDiv w:val="1"/>
      <w:marLeft w:val="0"/>
      <w:marRight w:val="0"/>
      <w:marTop w:val="0"/>
      <w:marBottom w:val="0"/>
      <w:divBdr>
        <w:top w:val="none" w:sz="0" w:space="0" w:color="auto"/>
        <w:left w:val="none" w:sz="0" w:space="0" w:color="auto"/>
        <w:bottom w:val="none" w:sz="0" w:space="0" w:color="auto"/>
        <w:right w:val="none" w:sz="0" w:space="0" w:color="auto"/>
      </w:divBdr>
    </w:div>
    <w:div w:id="877931016">
      <w:bodyDiv w:val="1"/>
      <w:marLeft w:val="0"/>
      <w:marRight w:val="0"/>
      <w:marTop w:val="0"/>
      <w:marBottom w:val="0"/>
      <w:divBdr>
        <w:top w:val="none" w:sz="0" w:space="0" w:color="auto"/>
        <w:left w:val="none" w:sz="0" w:space="0" w:color="auto"/>
        <w:bottom w:val="none" w:sz="0" w:space="0" w:color="auto"/>
        <w:right w:val="none" w:sz="0" w:space="0" w:color="auto"/>
      </w:divBdr>
    </w:div>
    <w:div w:id="924723026">
      <w:bodyDiv w:val="1"/>
      <w:marLeft w:val="0"/>
      <w:marRight w:val="0"/>
      <w:marTop w:val="0"/>
      <w:marBottom w:val="0"/>
      <w:divBdr>
        <w:top w:val="none" w:sz="0" w:space="0" w:color="auto"/>
        <w:left w:val="none" w:sz="0" w:space="0" w:color="auto"/>
        <w:bottom w:val="none" w:sz="0" w:space="0" w:color="auto"/>
        <w:right w:val="none" w:sz="0" w:space="0" w:color="auto"/>
      </w:divBdr>
    </w:div>
    <w:div w:id="1055859101">
      <w:bodyDiv w:val="1"/>
      <w:marLeft w:val="0"/>
      <w:marRight w:val="0"/>
      <w:marTop w:val="0"/>
      <w:marBottom w:val="0"/>
      <w:divBdr>
        <w:top w:val="none" w:sz="0" w:space="0" w:color="auto"/>
        <w:left w:val="none" w:sz="0" w:space="0" w:color="auto"/>
        <w:bottom w:val="none" w:sz="0" w:space="0" w:color="auto"/>
        <w:right w:val="none" w:sz="0" w:space="0" w:color="auto"/>
      </w:divBdr>
    </w:div>
    <w:div w:id="1061904350">
      <w:bodyDiv w:val="1"/>
      <w:marLeft w:val="0"/>
      <w:marRight w:val="0"/>
      <w:marTop w:val="0"/>
      <w:marBottom w:val="0"/>
      <w:divBdr>
        <w:top w:val="none" w:sz="0" w:space="0" w:color="auto"/>
        <w:left w:val="none" w:sz="0" w:space="0" w:color="auto"/>
        <w:bottom w:val="none" w:sz="0" w:space="0" w:color="auto"/>
        <w:right w:val="none" w:sz="0" w:space="0" w:color="auto"/>
      </w:divBdr>
    </w:div>
    <w:div w:id="1177765408">
      <w:bodyDiv w:val="1"/>
      <w:marLeft w:val="0"/>
      <w:marRight w:val="0"/>
      <w:marTop w:val="0"/>
      <w:marBottom w:val="0"/>
      <w:divBdr>
        <w:top w:val="none" w:sz="0" w:space="0" w:color="auto"/>
        <w:left w:val="none" w:sz="0" w:space="0" w:color="auto"/>
        <w:bottom w:val="none" w:sz="0" w:space="0" w:color="auto"/>
        <w:right w:val="none" w:sz="0" w:space="0" w:color="auto"/>
      </w:divBdr>
    </w:div>
    <w:div w:id="1270040750">
      <w:bodyDiv w:val="1"/>
      <w:marLeft w:val="0"/>
      <w:marRight w:val="0"/>
      <w:marTop w:val="0"/>
      <w:marBottom w:val="0"/>
      <w:divBdr>
        <w:top w:val="none" w:sz="0" w:space="0" w:color="auto"/>
        <w:left w:val="none" w:sz="0" w:space="0" w:color="auto"/>
        <w:bottom w:val="none" w:sz="0" w:space="0" w:color="auto"/>
        <w:right w:val="none" w:sz="0" w:space="0" w:color="auto"/>
      </w:divBdr>
    </w:div>
    <w:div w:id="1304893768">
      <w:bodyDiv w:val="1"/>
      <w:marLeft w:val="0"/>
      <w:marRight w:val="0"/>
      <w:marTop w:val="0"/>
      <w:marBottom w:val="0"/>
      <w:divBdr>
        <w:top w:val="none" w:sz="0" w:space="0" w:color="auto"/>
        <w:left w:val="none" w:sz="0" w:space="0" w:color="auto"/>
        <w:bottom w:val="none" w:sz="0" w:space="0" w:color="auto"/>
        <w:right w:val="none" w:sz="0" w:space="0" w:color="auto"/>
      </w:divBdr>
    </w:div>
    <w:div w:id="1326711260">
      <w:bodyDiv w:val="1"/>
      <w:marLeft w:val="0"/>
      <w:marRight w:val="0"/>
      <w:marTop w:val="0"/>
      <w:marBottom w:val="0"/>
      <w:divBdr>
        <w:top w:val="none" w:sz="0" w:space="0" w:color="auto"/>
        <w:left w:val="none" w:sz="0" w:space="0" w:color="auto"/>
        <w:bottom w:val="none" w:sz="0" w:space="0" w:color="auto"/>
        <w:right w:val="none" w:sz="0" w:space="0" w:color="auto"/>
      </w:divBdr>
      <w:divsChild>
        <w:div w:id="1258517531">
          <w:marLeft w:val="0"/>
          <w:marRight w:val="0"/>
          <w:marTop w:val="0"/>
          <w:marBottom w:val="0"/>
          <w:divBdr>
            <w:top w:val="none" w:sz="0" w:space="0" w:color="auto"/>
            <w:left w:val="none" w:sz="0" w:space="0" w:color="auto"/>
            <w:bottom w:val="none" w:sz="0" w:space="0" w:color="auto"/>
            <w:right w:val="none" w:sz="0" w:space="0" w:color="auto"/>
          </w:divBdr>
        </w:div>
      </w:divsChild>
    </w:div>
    <w:div w:id="1396901495">
      <w:bodyDiv w:val="1"/>
      <w:marLeft w:val="0"/>
      <w:marRight w:val="0"/>
      <w:marTop w:val="0"/>
      <w:marBottom w:val="0"/>
      <w:divBdr>
        <w:top w:val="none" w:sz="0" w:space="0" w:color="auto"/>
        <w:left w:val="none" w:sz="0" w:space="0" w:color="auto"/>
        <w:bottom w:val="none" w:sz="0" w:space="0" w:color="auto"/>
        <w:right w:val="none" w:sz="0" w:space="0" w:color="auto"/>
      </w:divBdr>
    </w:div>
    <w:div w:id="1481189449">
      <w:bodyDiv w:val="1"/>
      <w:marLeft w:val="0"/>
      <w:marRight w:val="0"/>
      <w:marTop w:val="0"/>
      <w:marBottom w:val="0"/>
      <w:divBdr>
        <w:top w:val="none" w:sz="0" w:space="0" w:color="auto"/>
        <w:left w:val="none" w:sz="0" w:space="0" w:color="auto"/>
        <w:bottom w:val="none" w:sz="0" w:space="0" w:color="auto"/>
        <w:right w:val="none" w:sz="0" w:space="0" w:color="auto"/>
      </w:divBdr>
    </w:div>
    <w:div w:id="1579899389">
      <w:bodyDiv w:val="1"/>
      <w:marLeft w:val="0"/>
      <w:marRight w:val="0"/>
      <w:marTop w:val="0"/>
      <w:marBottom w:val="0"/>
      <w:divBdr>
        <w:top w:val="none" w:sz="0" w:space="0" w:color="auto"/>
        <w:left w:val="none" w:sz="0" w:space="0" w:color="auto"/>
        <w:bottom w:val="none" w:sz="0" w:space="0" w:color="auto"/>
        <w:right w:val="none" w:sz="0" w:space="0" w:color="auto"/>
      </w:divBdr>
    </w:div>
    <w:div w:id="1592545650">
      <w:bodyDiv w:val="1"/>
      <w:marLeft w:val="0"/>
      <w:marRight w:val="0"/>
      <w:marTop w:val="0"/>
      <w:marBottom w:val="0"/>
      <w:divBdr>
        <w:top w:val="none" w:sz="0" w:space="0" w:color="auto"/>
        <w:left w:val="none" w:sz="0" w:space="0" w:color="auto"/>
        <w:bottom w:val="none" w:sz="0" w:space="0" w:color="auto"/>
        <w:right w:val="none" w:sz="0" w:space="0" w:color="auto"/>
      </w:divBdr>
    </w:div>
    <w:div w:id="1603338262">
      <w:bodyDiv w:val="1"/>
      <w:marLeft w:val="0"/>
      <w:marRight w:val="0"/>
      <w:marTop w:val="0"/>
      <w:marBottom w:val="0"/>
      <w:divBdr>
        <w:top w:val="none" w:sz="0" w:space="0" w:color="auto"/>
        <w:left w:val="none" w:sz="0" w:space="0" w:color="auto"/>
        <w:bottom w:val="none" w:sz="0" w:space="0" w:color="auto"/>
        <w:right w:val="none" w:sz="0" w:space="0" w:color="auto"/>
      </w:divBdr>
    </w:div>
    <w:div w:id="1672220856">
      <w:bodyDiv w:val="1"/>
      <w:marLeft w:val="0"/>
      <w:marRight w:val="0"/>
      <w:marTop w:val="0"/>
      <w:marBottom w:val="0"/>
      <w:divBdr>
        <w:top w:val="none" w:sz="0" w:space="0" w:color="auto"/>
        <w:left w:val="none" w:sz="0" w:space="0" w:color="auto"/>
        <w:bottom w:val="none" w:sz="0" w:space="0" w:color="auto"/>
        <w:right w:val="none" w:sz="0" w:space="0" w:color="auto"/>
      </w:divBdr>
    </w:div>
    <w:div w:id="1821262585">
      <w:bodyDiv w:val="1"/>
      <w:marLeft w:val="0"/>
      <w:marRight w:val="0"/>
      <w:marTop w:val="0"/>
      <w:marBottom w:val="0"/>
      <w:divBdr>
        <w:top w:val="none" w:sz="0" w:space="0" w:color="auto"/>
        <w:left w:val="none" w:sz="0" w:space="0" w:color="auto"/>
        <w:bottom w:val="none" w:sz="0" w:space="0" w:color="auto"/>
        <w:right w:val="none" w:sz="0" w:space="0" w:color="auto"/>
      </w:divBdr>
    </w:div>
    <w:div w:id="1878464327">
      <w:bodyDiv w:val="1"/>
      <w:marLeft w:val="0"/>
      <w:marRight w:val="0"/>
      <w:marTop w:val="0"/>
      <w:marBottom w:val="0"/>
      <w:divBdr>
        <w:top w:val="none" w:sz="0" w:space="0" w:color="auto"/>
        <w:left w:val="none" w:sz="0" w:space="0" w:color="auto"/>
        <w:bottom w:val="none" w:sz="0" w:space="0" w:color="auto"/>
        <w:right w:val="none" w:sz="0" w:space="0" w:color="auto"/>
      </w:divBdr>
    </w:div>
    <w:div w:id="1984699887">
      <w:bodyDiv w:val="1"/>
      <w:marLeft w:val="0"/>
      <w:marRight w:val="0"/>
      <w:marTop w:val="0"/>
      <w:marBottom w:val="0"/>
      <w:divBdr>
        <w:top w:val="none" w:sz="0" w:space="0" w:color="auto"/>
        <w:left w:val="none" w:sz="0" w:space="0" w:color="auto"/>
        <w:bottom w:val="none" w:sz="0" w:space="0" w:color="auto"/>
        <w:right w:val="none" w:sz="0" w:space="0" w:color="auto"/>
      </w:divBdr>
    </w:div>
    <w:div w:id="1995714343">
      <w:bodyDiv w:val="1"/>
      <w:marLeft w:val="0"/>
      <w:marRight w:val="0"/>
      <w:marTop w:val="0"/>
      <w:marBottom w:val="0"/>
      <w:divBdr>
        <w:top w:val="none" w:sz="0" w:space="0" w:color="auto"/>
        <w:left w:val="none" w:sz="0" w:space="0" w:color="auto"/>
        <w:bottom w:val="none" w:sz="0" w:space="0" w:color="auto"/>
        <w:right w:val="none" w:sz="0" w:space="0" w:color="auto"/>
      </w:divBdr>
    </w:div>
    <w:div w:id="2112506807">
      <w:bodyDiv w:val="1"/>
      <w:marLeft w:val="0"/>
      <w:marRight w:val="0"/>
      <w:marTop w:val="0"/>
      <w:marBottom w:val="0"/>
      <w:divBdr>
        <w:top w:val="none" w:sz="0" w:space="0" w:color="auto"/>
        <w:left w:val="none" w:sz="0" w:space="0" w:color="auto"/>
        <w:bottom w:val="none" w:sz="0" w:space="0" w:color="auto"/>
        <w:right w:val="none" w:sz="0" w:space="0" w:color="auto"/>
      </w:divBdr>
    </w:div>
    <w:div w:id="213648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mailto:africa@deik.org.tr" TargetMode="External"/><Relationship Id="rId26" Type="http://schemas.openxmlformats.org/officeDocument/2006/relationships/hyperlink" Target="http://www.kengen.co.ke/" TargetMode="External"/><Relationship Id="rId3" Type="http://schemas.openxmlformats.org/officeDocument/2006/relationships/numbering" Target="numbering.xml"/><Relationship Id="rId21" Type="http://schemas.openxmlformats.org/officeDocument/2006/relationships/hyperlink" Target="file:///\\200.200.200.4\data\DATALL\Afrika\AFR\&#220;lke%20B&#252;lteni%202017\www.counsellors.gov.tr%20"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file:///C:\Users\afrikastaj\AppData\Roaming\Microsoft\Word\www.kenyachamber.or.ke" TargetMode="External"/><Relationship Id="rId25" Type="http://schemas.openxmlformats.org/officeDocument/2006/relationships/hyperlink" Target="http://www.ketraco.co.ke/" TargetMode="External"/><Relationship Id="rId2" Type="http://schemas.openxmlformats.org/officeDocument/2006/relationships/customXml" Target="../customXml/item2.xml"/><Relationship Id="rId16" Type="http://schemas.openxmlformats.org/officeDocument/2006/relationships/hyperlink" Target="http://www.immigration.go.ke/Information.html" TargetMode="External"/><Relationship Id="rId20" Type="http://schemas.openxmlformats.org/officeDocument/2006/relationships/hyperlink" Target="http://nairobi.be.mfa.gov.tr" TargetMode="External"/><Relationship Id="rId29" Type="http://schemas.openxmlformats.org/officeDocument/2006/relationships/hyperlink" Target="http://www.information.go.ke/?p=59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www.investmentkenya.com/" TargetMode="Externa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6.png"/><Relationship Id="rId23" Type="http://schemas.openxmlformats.org/officeDocument/2006/relationships/hyperlink" Target="https://kenya.eregulations.org/" TargetMode="External"/><Relationship Id="rId28" Type="http://schemas.openxmlformats.org/officeDocument/2006/relationships/hyperlink" Target="https://www.opendata.go.ke/facet/counties" TargetMode="External"/><Relationship Id="rId10" Type="http://schemas.openxmlformats.org/officeDocument/2006/relationships/image" Target="media/image1.png"/><Relationship Id="rId19" Type="http://schemas.openxmlformats.org/officeDocument/2006/relationships/hyperlink" Target="file:///\\200.200.200.4\data\DATALL\Afrika\AFR\&#220;lke%20B&#252;lteni%202017\embassy.nairobi@mfa.gov.tr"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file:///\\200.200.200.4\data\DATALL\Afrika\AFR\&#220;lke%20B&#252;lteni%202017\nairobi@ekonomi.gov.tr" TargetMode="External"/><Relationship Id="rId27" Type="http://schemas.openxmlformats.org/officeDocument/2006/relationships/hyperlink" Target="http://www.erc.go.ke/"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66D5C4-345E-4B2A-B655-423AB41A0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7038</Words>
  <Characters>40122</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Ülke Bülteni</vt:lpstr>
    </vt:vector>
  </TitlesOfParts>
  <Company>Microsoft</Company>
  <LinksUpToDate>false</LinksUpToDate>
  <CharactersWithSpaces>47066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Ülke Bülteni</dc:title>
  <dc:subject>Kenya</dc:subject>
  <dc:creator>Afrika Staj</dc:creator>
  <cp:lastModifiedBy>Saadet Gulmez</cp:lastModifiedBy>
  <cp:revision>2</cp:revision>
  <cp:lastPrinted>2017-08-24T10:44:00Z</cp:lastPrinted>
  <dcterms:created xsi:type="dcterms:W3CDTF">2018-04-27T13:35:00Z</dcterms:created>
  <dcterms:modified xsi:type="dcterms:W3CDTF">2018-04-27T13:35:00Z</dcterms:modified>
</cp:coreProperties>
</file>